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方正仿宋_GBK" w:hAnsi="方正仿宋_GBK" w:eastAsia="方正仿宋_GBK" w:cs="方正仿宋_GBK"/>
          <w:sz w:val="32"/>
          <w:szCs w:val="32"/>
          <w:lang w:eastAsia="zh-CN"/>
        </w:rPr>
      </w:pPr>
      <w:bookmarkStart w:id="0" w:name="_GoBack"/>
      <w:bookmarkEnd w:id="0"/>
      <w:r>
        <w:rPr>
          <w:rFonts w:hint="eastAsia" w:ascii="方正仿宋_GBK" w:hAnsi="方正仿宋_GBK" w:eastAsia="方正仿宋_GBK" w:cs="方正仿宋_GBK"/>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湖北省科学技术厅实验动物行政处罚裁量基准</w:t>
      </w:r>
    </w:p>
    <w:p>
      <w:pPr>
        <w:jc w:val="center"/>
        <w:rPr>
          <w:rFonts w:hint="eastAsia" w:ascii="方正小标宋简体" w:hAnsi="方正小标宋简体" w:eastAsia="方正小标宋简体" w:cs="方正小标宋简体"/>
          <w:sz w:val="36"/>
          <w:szCs w:val="36"/>
        </w:rPr>
      </w:pPr>
    </w:p>
    <w:tbl>
      <w:tblPr>
        <w:tblStyle w:val="6"/>
        <w:tblW w:w="495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1761"/>
        <w:gridCol w:w="5350"/>
        <w:gridCol w:w="2369"/>
        <w:gridCol w:w="2012"/>
        <w:gridCol w:w="1857"/>
      </w:tblGrid>
      <w:tr>
        <w:trPr>
          <w:trHeight w:val="567" w:hRule="atLeast"/>
          <w:tblHeader/>
        </w:trPr>
        <w:tc>
          <w:tcPr>
            <w:tcW w:w="260" w:type="pct"/>
            <w:vAlign w:val="center"/>
          </w:tcPr>
          <w:p>
            <w:pPr>
              <w:spacing w:line="400" w:lineRule="exact"/>
              <w:jc w:val="center"/>
              <w:rPr>
                <w:rFonts w:hint="eastAsia" w:ascii="黑体" w:hAnsi="黑体" w:eastAsia="黑体"/>
                <w:b/>
                <w:bCs/>
                <w:sz w:val="24"/>
                <w:szCs w:val="24"/>
              </w:rPr>
            </w:pPr>
            <w:r>
              <w:rPr>
                <w:rFonts w:hint="eastAsia" w:ascii="黑体" w:hAnsi="黑体" w:eastAsia="黑体"/>
                <w:b/>
                <w:bCs/>
                <w:sz w:val="24"/>
                <w:szCs w:val="24"/>
              </w:rPr>
              <w:t>序号</w:t>
            </w:r>
          </w:p>
        </w:tc>
        <w:tc>
          <w:tcPr>
            <w:tcW w:w="625" w:type="pct"/>
            <w:vAlign w:val="center"/>
          </w:tcPr>
          <w:p>
            <w:pPr>
              <w:spacing w:line="400" w:lineRule="exact"/>
              <w:jc w:val="center"/>
              <w:rPr>
                <w:rFonts w:hint="eastAsia" w:ascii="黑体" w:hAnsi="黑体" w:eastAsia="黑体"/>
                <w:b/>
                <w:bCs/>
                <w:sz w:val="24"/>
                <w:szCs w:val="24"/>
              </w:rPr>
            </w:pPr>
            <w:r>
              <w:rPr>
                <w:rFonts w:hint="eastAsia" w:ascii="黑体" w:hAnsi="黑体" w:eastAsia="黑体"/>
                <w:b/>
                <w:bCs/>
                <w:sz w:val="24"/>
                <w:szCs w:val="24"/>
              </w:rPr>
              <w:t>违法行为</w:t>
            </w:r>
          </w:p>
        </w:tc>
        <w:tc>
          <w:tcPr>
            <w:tcW w:w="1899" w:type="pct"/>
            <w:vAlign w:val="center"/>
          </w:tcPr>
          <w:p>
            <w:pPr>
              <w:spacing w:line="400" w:lineRule="exact"/>
              <w:jc w:val="center"/>
              <w:rPr>
                <w:rFonts w:hint="eastAsia" w:ascii="黑体" w:hAnsi="黑体" w:eastAsia="黑体"/>
                <w:b/>
                <w:bCs/>
                <w:sz w:val="24"/>
                <w:szCs w:val="24"/>
              </w:rPr>
            </w:pPr>
            <w:r>
              <w:rPr>
                <w:rFonts w:hint="eastAsia" w:ascii="黑体" w:hAnsi="黑体" w:eastAsia="黑体"/>
                <w:b/>
                <w:bCs/>
                <w:sz w:val="24"/>
                <w:szCs w:val="24"/>
              </w:rPr>
              <w:t>法律依据</w:t>
            </w:r>
          </w:p>
        </w:tc>
        <w:tc>
          <w:tcPr>
            <w:tcW w:w="841" w:type="pct"/>
            <w:vAlign w:val="center"/>
          </w:tcPr>
          <w:p>
            <w:pPr>
              <w:spacing w:line="400" w:lineRule="exact"/>
              <w:jc w:val="center"/>
              <w:rPr>
                <w:rFonts w:hint="eastAsia" w:ascii="黑体" w:hAnsi="黑体" w:eastAsia="黑体"/>
                <w:b/>
                <w:bCs/>
                <w:sz w:val="24"/>
                <w:szCs w:val="24"/>
              </w:rPr>
            </w:pPr>
            <w:r>
              <w:rPr>
                <w:rFonts w:hint="eastAsia" w:ascii="黑体" w:hAnsi="黑体" w:eastAsia="黑体"/>
                <w:b/>
                <w:bCs/>
                <w:sz w:val="24"/>
                <w:szCs w:val="24"/>
              </w:rPr>
              <w:t>违法情节</w:t>
            </w:r>
          </w:p>
        </w:tc>
        <w:tc>
          <w:tcPr>
            <w:tcW w:w="714" w:type="pct"/>
            <w:vAlign w:val="center"/>
          </w:tcPr>
          <w:p>
            <w:pPr>
              <w:spacing w:line="400" w:lineRule="exact"/>
              <w:jc w:val="center"/>
              <w:rPr>
                <w:rFonts w:hint="eastAsia" w:ascii="黑体" w:hAnsi="黑体" w:eastAsia="黑体"/>
                <w:b/>
                <w:bCs/>
                <w:sz w:val="24"/>
                <w:szCs w:val="24"/>
              </w:rPr>
            </w:pPr>
            <w:r>
              <w:rPr>
                <w:rFonts w:hint="eastAsia" w:ascii="黑体" w:hAnsi="黑体" w:eastAsia="黑体"/>
                <w:b/>
                <w:bCs/>
                <w:sz w:val="24"/>
                <w:szCs w:val="24"/>
              </w:rPr>
              <w:t>处罚种类和幅度</w:t>
            </w:r>
          </w:p>
        </w:tc>
        <w:tc>
          <w:tcPr>
            <w:tcW w:w="659" w:type="pct"/>
            <w:vAlign w:val="center"/>
          </w:tcPr>
          <w:p>
            <w:pPr>
              <w:spacing w:line="400" w:lineRule="exact"/>
              <w:jc w:val="center"/>
              <w:rPr>
                <w:rFonts w:hint="eastAsia" w:ascii="黑体" w:hAnsi="黑体" w:eastAsia="黑体"/>
                <w:b/>
                <w:bCs/>
                <w:sz w:val="24"/>
                <w:szCs w:val="24"/>
              </w:rPr>
            </w:pPr>
            <w:r>
              <w:rPr>
                <w:rFonts w:hint="eastAsia" w:ascii="黑体" w:hAnsi="黑体" w:eastAsia="黑体"/>
                <w:b/>
                <w:bCs/>
                <w:sz w:val="24"/>
                <w:szCs w:val="24"/>
              </w:rPr>
              <w:t>其他处理措施</w:t>
            </w:r>
          </w:p>
        </w:tc>
      </w:tr>
      <w:tr>
        <w:trPr>
          <w:trHeight w:val="2038" w:hRule="atLeast"/>
        </w:trPr>
        <w:tc>
          <w:tcPr>
            <w:tcW w:w="260" w:type="pct"/>
            <w:vMerge w:val="restart"/>
            <w:vAlign w:val="center"/>
          </w:tcPr>
          <w:p>
            <w:pPr>
              <w:spacing w:line="400" w:lineRule="exact"/>
              <w:jc w:val="center"/>
              <w:rPr>
                <w:rFonts w:hint="eastAsia" w:ascii="仿宋" w:hAnsi="仿宋" w:eastAsia="仿宋"/>
                <w:b/>
                <w:bCs/>
                <w:sz w:val="24"/>
                <w:szCs w:val="24"/>
              </w:rPr>
            </w:pPr>
            <w:r>
              <w:rPr>
                <w:rFonts w:hint="eastAsia" w:ascii="仿宋" w:hAnsi="仿宋" w:eastAsia="仿宋"/>
                <w:sz w:val="24"/>
                <w:szCs w:val="24"/>
              </w:rPr>
              <w:t>1</w:t>
            </w:r>
          </w:p>
        </w:tc>
        <w:tc>
          <w:tcPr>
            <w:tcW w:w="625" w:type="pct"/>
            <w:vMerge w:val="restart"/>
            <w:vAlign w:val="center"/>
          </w:tcPr>
          <w:p>
            <w:pPr>
              <w:spacing w:line="400" w:lineRule="exact"/>
              <w:rPr>
                <w:rFonts w:hint="eastAsia" w:ascii="仿宋" w:hAnsi="仿宋" w:eastAsia="仿宋"/>
                <w:b/>
                <w:bCs/>
                <w:sz w:val="24"/>
                <w:szCs w:val="24"/>
              </w:rPr>
            </w:pPr>
            <w:r>
              <w:rPr>
                <w:rFonts w:hint="eastAsia" w:ascii="仿宋" w:hAnsi="仿宋" w:eastAsia="仿宋"/>
                <w:sz w:val="24"/>
                <w:szCs w:val="24"/>
              </w:rPr>
              <w:t>未取得实验动物生产、使用许可证擅自从事实验动物生产、应用等活动</w:t>
            </w:r>
          </w:p>
        </w:tc>
        <w:tc>
          <w:tcPr>
            <w:tcW w:w="1899" w:type="pct"/>
            <w:vMerge w:val="restart"/>
            <w:vAlign w:val="center"/>
          </w:tcPr>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《湖北省实验动物管理条例》第三十七条：未取得实验动物生产、使用许可证擅自从事实验动物生产、应用等活动的，由省科学技术行政部门责令停止违法活动，予以通报，并由市场监督管理部门依法处理。</w:t>
            </w:r>
          </w:p>
          <w:p>
            <w:pPr>
              <w:spacing w:line="400" w:lineRule="exact"/>
              <w:rPr>
                <w:rFonts w:hint="eastAsia" w:ascii="仿宋" w:hAnsi="仿宋" w:eastAsia="仿宋"/>
                <w:sz w:val="24"/>
                <w:szCs w:val="24"/>
              </w:rPr>
            </w:pPr>
          </w:p>
          <w:p>
            <w:pPr>
              <w:spacing w:line="400" w:lineRule="exact"/>
              <w:rPr>
                <w:rFonts w:hint="eastAsia" w:ascii="仿宋" w:hAnsi="仿宋" w:eastAsia="仿宋"/>
                <w:b/>
                <w:bCs/>
                <w:sz w:val="24"/>
                <w:szCs w:val="24"/>
              </w:rPr>
            </w:pPr>
          </w:p>
        </w:tc>
        <w:tc>
          <w:tcPr>
            <w:tcW w:w="841" w:type="pct"/>
            <w:vAlign w:val="center"/>
          </w:tcPr>
          <w:p>
            <w:pPr>
              <w:spacing w:line="400" w:lineRule="exact"/>
              <w:rPr>
                <w:rFonts w:hint="eastAsia" w:ascii="仿宋" w:hAnsi="仿宋" w:eastAsia="仿宋"/>
                <w:b/>
                <w:bCs/>
                <w:sz w:val="24"/>
                <w:szCs w:val="24"/>
              </w:rPr>
            </w:pPr>
            <w:r>
              <w:rPr>
                <w:rFonts w:hint="eastAsia" w:ascii="仿宋" w:hAnsi="仿宋" w:eastAsia="仿宋"/>
                <w:sz w:val="24"/>
                <w:szCs w:val="24"/>
              </w:rPr>
              <w:t>未取得实验动物生产许可证擅自从事实验动物生产等活动</w:t>
            </w:r>
          </w:p>
        </w:tc>
        <w:tc>
          <w:tcPr>
            <w:tcW w:w="714" w:type="pc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b/>
                <w:bCs/>
                <w:sz w:val="24"/>
                <w:szCs w:val="24"/>
              </w:rPr>
            </w:pPr>
            <w:r>
              <w:rPr>
                <w:rFonts w:hint="eastAsia" w:ascii="仿宋" w:hAnsi="仿宋" w:eastAsia="仿宋"/>
                <w:sz w:val="24"/>
                <w:szCs w:val="24"/>
                <w:lang w:eastAsia="zh-CN"/>
              </w:rPr>
              <w:t>由省科技厅</w:t>
            </w:r>
            <w:r>
              <w:rPr>
                <w:rFonts w:hint="eastAsia" w:ascii="仿宋" w:hAnsi="仿宋" w:eastAsia="仿宋"/>
                <w:sz w:val="24"/>
                <w:szCs w:val="24"/>
              </w:rPr>
              <w:t>责令停止违法活动，予以通报，</w:t>
            </w:r>
            <w:r>
              <w:rPr>
                <w:rFonts w:hint="eastAsia" w:ascii="仿宋" w:hAnsi="仿宋" w:eastAsia="仿宋"/>
                <w:sz w:val="24"/>
                <w:szCs w:val="24"/>
                <w:lang w:eastAsia="zh-CN"/>
              </w:rPr>
              <w:t>并</w:t>
            </w:r>
            <w:r>
              <w:rPr>
                <w:rFonts w:hint="eastAsia" w:ascii="仿宋" w:hAnsi="仿宋" w:eastAsia="仿宋"/>
                <w:sz w:val="24"/>
                <w:szCs w:val="24"/>
              </w:rPr>
              <w:t>由地方市场监管部门依法处理</w:t>
            </w:r>
          </w:p>
        </w:tc>
        <w:tc>
          <w:tcPr>
            <w:tcW w:w="659" w:type="pct"/>
            <w:vAlign w:val="center"/>
          </w:tcPr>
          <w:p>
            <w:pPr>
              <w:spacing w:line="400" w:lineRule="exact"/>
              <w:rPr>
                <w:rFonts w:hint="eastAsia" w:ascii="仿宋" w:hAnsi="仿宋" w:eastAsia="仿宋"/>
                <w:sz w:val="24"/>
                <w:szCs w:val="24"/>
              </w:rPr>
            </w:pPr>
          </w:p>
        </w:tc>
      </w:tr>
      <w:tr>
        <w:trPr>
          <w:trHeight w:val="2108" w:hRule="atLeast"/>
        </w:trPr>
        <w:tc>
          <w:tcPr>
            <w:tcW w:w="260" w:type="pct"/>
            <w:vMerge w:val="continue"/>
            <w:vAlign w:val="center"/>
          </w:tcPr>
          <w:p>
            <w:pPr>
              <w:spacing w:line="400" w:lineRule="exact"/>
              <w:jc w:val="center"/>
              <w:rPr>
                <w:rFonts w:hint="eastAsia" w:ascii="仿宋" w:hAnsi="仿宋" w:eastAsia="仿宋"/>
                <w:b/>
                <w:bCs/>
                <w:sz w:val="24"/>
                <w:szCs w:val="24"/>
              </w:rPr>
            </w:pPr>
          </w:p>
        </w:tc>
        <w:tc>
          <w:tcPr>
            <w:tcW w:w="625" w:type="pct"/>
            <w:vMerge w:val="continue"/>
            <w:vAlign w:val="center"/>
          </w:tcPr>
          <w:p>
            <w:pPr>
              <w:spacing w:line="400" w:lineRule="exact"/>
              <w:rPr>
                <w:rFonts w:hint="eastAsia" w:ascii="仿宋" w:hAnsi="仿宋" w:eastAsia="仿宋"/>
                <w:b/>
                <w:bCs/>
                <w:sz w:val="24"/>
                <w:szCs w:val="24"/>
              </w:rPr>
            </w:pPr>
          </w:p>
        </w:tc>
        <w:tc>
          <w:tcPr>
            <w:tcW w:w="1899" w:type="pct"/>
            <w:vMerge w:val="continue"/>
            <w:vAlign w:val="center"/>
          </w:tcPr>
          <w:p>
            <w:pPr>
              <w:spacing w:line="400" w:lineRule="exact"/>
              <w:rPr>
                <w:rFonts w:hint="eastAsia" w:ascii="仿宋" w:hAnsi="仿宋" w:eastAsia="仿宋"/>
                <w:b/>
                <w:bCs/>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未取得实验动物使用许可证擅自从事实验动物应用等活动</w:t>
            </w:r>
          </w:p>
        </w:tc>
        <w:tc>
          <w:tcPr>
            <w:tcW w:w="714" w:type="pc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sz w:val="24"/>
                <w:szCs w:val="24"/>
              </w:rPr>
            </w:pPr>
            <w:r>
              <w:rPr>
                <w:rFonts w:hint="eastAsia" w:ascii="仿宋" w:hAnsi="仿宋" w:eastAsia="仿宋"/>
                <w:sz w:val="24"/>
                <w:szCs w:val="24"/>
                <w:lang w:eastAsia="zh-CN"/>
              </w:rPr>
              <w:t>由省科技厅</w:t>
            </w:r>
            <w:r>
              <w:rPr>
                <w:rFonts w:hint="eastAsia" w:ascii="仿宋" w:hAnsi="仿宋" w:eastAsia="仿宋"/>
                <w:sz w:val="24"/>
                <w:szCs w:val="24"/>
              </w:rPr>
              <w:t>责令停止违法活动，予以通报，</w:t>
            </w:r>
            <w:r>
              <w:rPr>
                <w:rFonts w:hint="eastAsia" w:ascii="仿宋" w:hAnsi="仿宋" w:eastAsia="仿宋"/>
                <w:sz w:val="24"/>
                <w:szCs w:val="24"/>
                <w:lang w:eastAsia="zh-CN"/>
              </w:rPr>
              <w:t>并</w:t>
            </w:r>
            <w:r>
              <w:rPr>
                <w:rFonts w:hint="eastAsia" w:ascii="仿宋" w:hAnsi="仿宋" w:eastAsia="仿宋"/>
                <w:sz w:val="24"/>
                <w:szCs w:val="24"/>
              </w:rPr>
              <w:t>由地方市场监管部门依法处理</w:t>
            </w:r>
          </w:p>
        </w:tc>
        <w:tc>
          <w:tcPr>
            <w:tcW w:w="659" w:type="pct"/>
            <w:vAlign w:val="center"/>
          </w:tcPr>
          <w:p>
            <w:pPr>
              <w:spacing w:line="400" w:lineRule="exact"/>
              <w:rPr>
                <w:rFonts w:hint="eastAsia" w:ascii="仿宋" w:hAnsi="仿宋" w:eastAsia="仿宋"/>
                <w:sz w:val="24"/>
                <w:szCs w:val="24"/>
              </w:rPr>
            </w:pPr>
          </w:p>
        </w:tc>
      </w:tr>
      <w:tr>
        <w:trPr>
          <w:trHeight w:val="2216" w:hRule="atLeast"/>
        </w:trPr>
        <w:tc>
          <w:tcPr>
            <w:tcW w:w="260" w:type="pct"/>
            <w:vMerge w:val="continue"/>
            <w:vAlign w:val="center"/>
          </w:tcPr>
          <w:p>
            <w:pPr>
              <w:spacing w:line="400" w:lineRule="exact"/>
              <w:jc w:val="center"/>
              <w:rPr>
                <w:rFonts w:hint="eastAsia" w:ascii="仿宋" w:hAnsi="仿宋" w:eastAsia="仿宋"/>
                <w:b/>
                <w:bCs/>
                <w:sz w:val="24"/>
                <w:szCs w:val="24"/>
              </w:rPr>
            </w:pPr>
          </w:p>
        </w:tc>
        <w:tc>
          <w:tcPr>
            <w:tcW w:w="625" w:type="pct"/>
            <w:vMerge w:val="continue"/>
            <w:vAlign w:val="center"/>
          </w:tcPr>
          <w:p>
            <w:pPr>
              <w:spacing w:line="400" w:lineRule="exact"/>
              <w:rPr>
                <w:rFonts w:hint="eastAsia" w:ascii="仿宋" w:hAnsi="仿宋" w:eastAsia="仿宋"/>
                <w:b/>
                <w:bCs/>
                <w:sz w:val="24"/>
                <w:szCs w:val="24"/>
              </w:rPr>
            </w:pPr>
          </w:p>
        </w:tc>
        <w:tc>
          <w:tcPr>
            <w:tcW w:w="1899" w:type="pct"/>
            <w:vMerge w:val="continue"/>
            <w:vAlign w:val="center"/>
          </w:tcPr>
          <w:p>
            <w:pPr>
              <w:spacing w:line="400" w:lineRule="exact"/>
              <w:rPr>
                <w:rFonts w:hint="eastAsia" w:ascii="仿宋" w:hAnsi="仿宋" w:eastAsia="仿宋"/>
                <w:b/>
                <w:bCs/>
                <w:sz w:val="24"/>
                <w:szCs w:val="24"/>
              </w:rPr>
            </w:pPr>
          </w:p>
        </w:tc>
        <w:tc>
          <w:tcPr>
            <w:tcW w:w="841" w:type="pct"/>
            <w:vAlign w:val="center"/>
          </w:tcPr>
          <w:p>
            <w:pPr>
              <w:spacing w:line="400" w:lineRule="exact"/>
              <w:rPr>
                <w:rFonts w:hint="eastAsia" w:ascii="仿宋" w:hAnsi="仿宋" w:eastAsia="仿宋"/>
                <w:b/>
                <w:bCs/>
                <w:sz w:val="24"/>
                <w:szCs w:val="24"/>
              </w:rPr>
            </w:pPr>
            <w:r>
              <w:rPr>
                <w:rFonts w:hint="eastAsia" w:ascii="仿宋" w:hAnsi="仿宋" w:eastAsia="仿宋"/>
                <w:sz w:val="24"/>
                <w:szCs w:val="24"/>
              </w:rPr>
              <w:t>实验动物生产、使用许可证有效期届满未延续，擅自从事实验动物生产、应用等活动</w:t>
            </w:r>
          </w:p>
        </w:tc>
        <w:tc>
          <w:tcPr>
            <w:tcW w:w="714" w:type="pc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sz w:val="24"/>
                <w:szCs w:val="24"/>
              </w:rPr>
            </w:pPr>
            <w:r>
              <w:rPr>
                <w:rFonts w:hint="eastAsia" w:ascii="仿宋" w:hAnsi="仿宋" w:eastAsia="仿宋"/>
                <w:sz w:val="24"/>
                <w:szCs w:val="24"/>
                <w:lang w:eastAsia="zh-CN"/>
              </w:rPr>
              <w:t>由省科技厅</w:t>
            </w:r>
            <w:r>
              <w:rPr>
                <w:rFonts w:hint="eastAsia" w:ascii="仿宋" w:hAnsi="仿宋" w:eastAsia="仿宋"/>
                <w:sz w:val="24"/>
                <w:szCs w:val="24"/>
              </w:rPr>
              <w:t>责令停止违法活动，予以通报，</w:t>
            </w:r>
            <w:r>
              <w:rPr>
                <w:rFonts w:hint="eastAsia" w:ascii="仿宋" w:hAnsi="仿宋" w:eastAsia="仿宋"/>
                <w:sz w:val="24"/>
                <w:szCs w:val="24"/>
                <w:lang w:eastAsia="zh-CN"/>
              </w:rPr>
              <w:t>并</w:t>
            </w:r>
            <w:r>
              <w:rPr>
                <w:rFonts w:hint="eastAsia" w:ascii="仿宋" w:hAnsi="仿宋" w:eastAsia="仿宋"/>
                <w:sz w:val="24"/>
                <w:szCs w:val="24"/>
              </w:rPr>
              <w:t>由地方市场监管部门依法处理</w:t>
            </w:r>
          </w:p>
        </w:tc>
        <w:tc>
          <w:tcPr>
            <w:tcW w:w="659"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注销实验动物许可证</w:t>
            </w:r>
          </w:p>
          <w:p>
            <w:pPr>
              <w:spacing w:line="400" w:lineRule="exact"/>
              <w:rPr>
                <w:rFonts w:hint="eastAsia" w:ascii="仿宋" w:hAnsi="仿宋" w:eastAsia="仿宋"/>
                <w:sz w:val="24"/>
                <w:szCs w:val="24"/>
              </w:rPr>
            </w:pPr>
          </w:p>
        </w:tc>
      </w:tr>
      <w:tr>
        <w:trPr>
          <w:trHeight w:val="2778" w:hRule="atLeast"/>
        </w:trPr>
        <w:tc>
          <w:tcPr>
            <w:tcW w:w="260" w:type="pct"/>
            <w:vMerge w:val="restart"/>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2</w:t>
            </w:r>
          </w:p>
        </w:tc>
        <w:tc>
          <w:tcPr>
            <w:tcW w:w="625" w:type="pct"/>
            <w:vMerge w:val="restart"/>
            <w:vAlign w:val="center"/>
          </w:tcPr>
          <w:p>
            <w:pPr>
              <w:spacing w:line="400" w:lineRule="exact"/>
              <w:rPr>
                <w:rFonts w:hint="eastAsia" w:ascii="仿宋" w:hAnsi="仿宋" w:eastAsia="仿宋"/>
                <w:sz w:val="24"/>
                <w:szCs w:val="24"/>
              </w:rPr>
            </w:pPr>
            <w:r>
              <w:rPr>
                <w:rFonts w:hint="eastAsia" w:ascii="仿宋" w:hAnsi="仿宋" w:eastAsia="仿宋"/>
                <w:sz w:val="24"/>
                <w:szCs w:val="24"/>
              </w:rPr>
              <w:t>实验动物生产环境设施不符合相应等级实验动物标准要求；不同来源，不同品种、品系和不同实验目的的实验动物，未分开饲养；实验动物的饲育室和动物实验室未分开设立</w:t>
            </w:r>
          </w:p>
        </w:tc>
        <w:tc>
          <w:tcPr>
            <w:tcW w:w="1899" w:type="pct"/>
            <w:vMerge w:val="restart"/>
            <w:vAlign w:val="center"/>
          </w:tcPr>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eastAsia="zh-CN"/>
              </w:rPr>
              <w:t>.</w:t>
            </w:r>
            <w:r>
              <w:rPr>
                <w:rFonts w:hint="eastAsia" w:ascii="仿宋" w:hAnsi="仿宋" w:eastAsia="仿宋"/>
                <w:sz w:val="24"/>
                <w:szCs w:val="24"/>
              </w:rPr>
              <w:t>《湖北省实验动物管理条例》第九条：实验动物生产环境设施应当符合不同等级实验动物标准要求。不同来源，不同品种、品系和不同实验目的的实验动物，应当分开饲养。实验动物的饲育室和动物实验室应当分开设立。</w:t>
            </w:r>
          </w:p>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eastAsia="zh-CN"/>
              </w:rPr>
              <w:t>.</w:t>
            </w:r>
            <w:r>
              <w:rPr>
                <w:rFonts w:hint="eastAsia" w:ascii="仿宋" w:hAnsi="仿宋" w:eastAsia="仿宋"/>
                <w:sz w:val="24"/>
                <w:szCs w:val="24"/>
              </w:rPr>
              <w:t>《湖北省实验动物管理条例》第三十五条：违反本条例第九条、第十条、第十一条、第十二条、第十三条、第十六条、第十七条、第二十四条、第二十六条、第二十九条、第三十条规定的，由省科学技术行政部门予以警告、责令限期改正</w:t>
            </w:r>
            <w:r>
              <w:rPr>
                <w:rFonts w:hint="eastAsia" w:ascii="仿宋" w:hAnsi="仿宋" w:eastAsia="仿宋"/>
                <w:sz w:val="24"/>
                <w:szCs w:val="24"/>
                <w:lang w:eastAsia="zh-CN"/>
              </w:rPr>
              <w:t>；</w:t>
            </w:r>
            <w:r>
              <w:rPr>
                <w:rFonts w:hint="eastAsia" w:ascii="仿宋" w:hAnsi="仿宋" w:eastAsia="仿宋"/>
                <w:sz w:val="24"/>
                <w:szCs w:val="24"/>
              </w:rPr>
              <w:t>拒不改正的，暂扣实验动物生产、使用许可证。</w:t>
            </w:r>
          </w:p>
        </w:tc>
        <w:tc>
          <w:tcPr>
            <w:tcW w:w="841" w:type="pct"/>
            <w:vAlign w:val="center"/>
          </w:tcPr>
          <w:p>
            <w:pPr>
              <w:spacing w:line="360" w:lineRule="exact"/>
              <w:rPr>
                <w:rFonts w:hint="eastAsia" w:ascii="仿宋" w:hAnsi="仿宋" w:eastAsia="仿宋"/>
                <w:sz w:val="24"/>
                <w:szCs w:val="24"/>
              </w:rPr>
            </w:pPr>
            <w:r>
              <w:rPr>
                <w:rFonts w:hint="eastAsia" w:ascii="仿宋" w:hAnsi="仿宋" w:eastAsia="仿宋"/>
                <w:sz w:val="24"/>
                <w:szCs w:val="24"/>
              </w:rPr>
              <w:t>实验动物生产环境设施部分指标不满足相应等级实验动物标准要求，初次违法且未造成危害后果并及时改正的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不予行政处罚</w:t>
            </w:r>
          </w:p>
        </w:tc>
        <w:tc>
          <w:tcPr>
            <w:tcW w:w="659"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批评教育</w:t>
            </w:r>
          </w:p>
        </w:tc>
      </w:tr>
      <w:tr>
        <w:trPr>
          <w:trHeight w:val="2778" w:hRule="atLeast"/>
        </w:trPr>
        <w:tc>
          <w:tcPr>
            <w:tcW w:w="260" w:type="pct"/>
            <w:vMerge w:val="continue"/>
            <w:vAlign w:val="center"/>
          </w:tcPr>
          <w:p>
            <w:pPr>
              <w:spacing w:line="400" w:lineRule="exact"/>
              <w:jc w:val="center"/>
              <w:rPr>
                <w:rFonts w:hint="eastAsia" w:ascii="仿宋" w:hAnsi="仿宋" w:eastAsia="仿宋"/>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360" w:lineRule="exact"/>
              <w:rPr>
                <w:rFonts w:hint="eastAsia" w:ascii="仿宋" w:hAnsi="仿宋" w:eastAsia="仿宋"/>
                <w:sz w:val="24"/>
                <w:szCs w:val="24"/>
              </w:rPr>
            </w:pPr>
            <w:r>
              <w:rPr>
                <w:rFonts w:hint="eastAsia" w:ascii="仿宋" w:hAnsi="仿宋" w:eastAsia="仿宋"/>
                <w:sz w:val="24"/>
                <w:szCs w:val="24"/>
              </w:rPr>
              <w:t>不同来源，不同品种、品系和不同实验目的的实验动物，未分开饲养；实验动物的饲育室和动物实验室未分开设立</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pPr>
              <w:spacing w:line="400" w:lineRule="exact"/>
              <w:rPr>
                <w:rFonts w:hint="eastAsia" w:ascii="仿宋" w:hAnsi="仿宋" w:eastAsia="仿宋"/>
                <w:sz w:val="24"/>
                <w:szCs w:val="24"/>
              </w:rPr>
            </w:pPr>
          </w:p>
        </w:tc>
      </w:tr>
      <w:tr>
        <w:trPr>
          <w:trHeight w:val="1523" w:hRule="atLeast"/>
        </w:trPr>
        <w:tc>
          <w:tcPr>
            <w:tcW w:w="260" w:type="pct"/>
            <w:vMerge w:val="continue"/>
            <w:vAlign w:val="center"/>
          </w:tcPr>
          <w:p>
            <w:pPr>
              <w:spacing w:line="400" w:lineRule="exact"/>
              <w:jc w:val="center"/>
              <w:rPr>
                <w:rFonts w:hint="eastAsia" w:ascii="仿宋" w:hAnsi="仿宋" w:eastAsia="仿宋"/>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经责令限期改正，逾期未完成或拒不改正的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暂扣实验动物生产许可证</w:t>
            </w:r>
          </w:p>
        </w:tc>
        <w:tc>
          <w:tcPr>
            <w:tcW w:w="659" w:type="pct"/>
            <w:vAlign w:val="center"/>
          </w:tcPr>
          <w:p>
            <w:pPr>
              <w:spacing w:line="400" w:lineRule="exact"/>
              <w:rPr>
                <w:rFonts w:hint="eastAsia" w:ascii="仿宋" w:hAnsi="仿宋" w:eastAsia="仿宋"/>
                <w:sz w:val="24"/>
                <w:szCs w:val="24"/>
              </w:rPr>
            </w:pPr>
          </w:p>
        </w:tc>
      </w:tr>
      <w:tr>
        <w:trPr>
          <w:trHeight w:val="1755" w:hRule="atLeast"/>
        </w:trPr>
        <w:tc>
          <w:tcPr>
            <w:tcW w:w="260" w:type="pct"/>
            <w:vMerge w:val="restart"/>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3</w:t>
            </w:r>
          </w:p>
        </w:tc>
        <w:tc>
          <w:tcPr>
            <w:tcW w:w="625" w:type="pct"/>
            <w:vMerge w:val="restart"/>
            <w:vAlign w:val="center"/>
          </w:tcPr>
          <w:p>
            <w:pPr>
              <w:spacing w:line="400" w:lineRule="exact"/>
              <w:rPr>
                <w:rFonts w:hint="eastAsia" w:ascii="仿宋" w:hAnsi="仿宋" w:eastAsia="仿宋"/>
                <w:sz w:val="24"/>
                <w:szCs w:val="24"/>
              </w:rPr>
            </w:pPr>
            <w:r>
              <w:rPr>
                <w:rFonts w:hint="eastAsia" w:ascii="仿宋" w:hAnsi="仿宋" w:eastAsia="仿宋"/>
                <w:sz w:val="24"/>
                <w:szCs w:val="24"/>
              </w:rPr>
              <w:t>实验动物饲料、笼具、垫料、饮水不符合国家标准和相关要求</w:t>
            </w:r>
          </w:p>
        </w:tc>
        <w:tc>
          <w:tcPr>
            <w:tcW w:w="1899" w:type="pct"/>
            <w:vMerge w:val="restart"/>
            <w:vAlign w:val="center"/>
          </w:tcPr>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eastAsia="zh-CN"/>
              </w:rPr>
              <w:t>.</w:t>
            </w:r>
            <w:r>
              <w:rPr>
                <w:rFonts w:hint="eastAsia" w:ascii="仿宋" w:hAnsi="仿宋" w:eastAsia="仿宋"/>
                <w:sz w:val="24"/>
                <w:szCs w:val="24"/>
              </w:rPr>
              <w:t>《湖北省实验动物管理条例》第十条：实验动物的饲料、笼具、垫料、饮水应当符合国家标准和相关要求。除特殊实验要求外，不得在实验动物饲料中添加可能影响实验效果的药品和其他物料。</w:t>
            </w:r>
          </w:p>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eastAsia="zh-CN"/>
              </w:rPr>
              <w:t>.</w:t>
            </w:r>
            <w:r>
              <w:rPr>
                <w:rFonts w:hint="eastAsia" w:ascii="仿宋" w:hAnsi="仿宋" w:eastAsia="仿宋"/>
                <w:sz w:val="24"/>
                <w:szCs w:val="24"/>
              </w:rPr>
              <w:t>《湖北省实验动物管理条例》第十六条：动物实验环境设施及饲料、笼具、垫料、饮水应当符合国家标准和相关要求。</w:t>
            </w:r>
          </w:p>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3</w:t>
            </w:r>
            <w:r>
              <w:rPr>
                <w:rFonts w:hint="eastAsia" w:ascii="仿宋" w:hAnsi="仿宋" w:eastAsia="仿宋"/>
                <w:sz w:val="24"/>
                <w:szCs w:val="24"/>
                <w:lang w:eastAsia="zh-CN"/>
              </w:rPr>
              <w:t>.</w:t>
            </w:r>
            <w:r>
              <w:rPr>
                <w:rFonts w:hint="eastAsia" w:ascii="仿宋" w:hAnsi="仿宋" w:eastAsia="仿宋"/>
                <w:sz w:val="24"/>
                <w:szCs w:val="24"/>
              </w:rPr>
              <w:t>《湖北省实验动物管理条例》第三十五条：违反本条例第九条、第十条、第十一条、第十二条、第十三条、第十六条、第十七条、第二十四条、第二十六条、第二十九条、第三十条规定的，由省科学技术行政部门予以警告、责令限期改正</w:t>
            </w:r>
            <w:r>
              <w:rPr>
                <w:rFonts w:hint="eastAsia" w:ascii="仿宋" w:hAnsi="仿宋" w:eastAsia="仿宋"/>
                <w:sz w:val="24"/>
                <w:szCs w:val="24"/>
                <w:lang w:eastAsia="zh-CN"/>
              </w:rPr>
              <w:t>；</w:t>
            </w:r>
            <w:r>
              <w:rPr>
                <w:rFonts w:hint="eastAsia" w:ascii="仿宋" w:hAnsi="仿宋" w:eastAsia="仿宋"/>
                <w:sz w:val="24"/>
                <w:szCs w:val="24"/>
              </w:rPr>
              <w:t>拒不改正的，暂扣实验动物生产、使用许可证。</w:t>
            </w: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实验动物饲料、笼具、垫料、饮水不符合国家标准和相关要求，初次违法且未造成危害后果并及时改正的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不予行政处罚</w:t>
            </w:r>
          </w:p>
        </w:tc>
        <w:tc>
          <w:tcPr>
            <w:tcW w:w="659"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批评教育</w:t>
            </w:r>
          </w:p>
        </w:tc>
      </w:tr>
      <w:tr>
        <w:trPr>
          <w:trHeight w:val="3755" w:hRule="atLeast"/>
        </w:trPr>
        <w:tc>
          <w:tcPr>
            <w:tcW w:w="260" w:type="pct"/>
            <w:vMerge w:val="continue"/>
            <w:vAlign w:val="center"/>
          </w:tcPr>
          <w:p>
            <w:pPr>
              <w:spacing w:line="400" w:lineRule="exact"/>
              <w:jc w:val="center"/>
              <w:rPr>
                <w:rFonts w:hint="eastAsia" w:ascii="仿宋" w:hAnsi="仿宋" w:eastAsia="仿宋"/>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实验动物饲料、笼具、垫料、饮水不符合国家标准和相关要求，多次违法或造成危害后果的；在实验动物饲料中添加可能影响实验效果的药品和其他物料的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pPr>
              <w:spacing w:line="400" w:lineRule="exact"/>
              <w:rPr>
                <w:rFonts w:hint="eastAsia" w:ascii="仿宋" w:hAnsi="仿宋" w:eastAsia="仿宋"/>
                <w:sz w:val="24"/>
                <w:szCs w:val="24"/>
              </w:rPr>
            </w:pPr>
          </w:p>
        </w:tc>
      </w:tr>
      <w:tr>
        <w:trPr>
          <w:trHeight w:val="1628" w:hRule="atLeast"/>
        </w:trPr>
        <w:tc>
          <w:tcPr>
            <w:tcW w:w="260" w:type="pct"/>
            <w:vMerge w:val="continue"/>
            <w:vAlign w:val="center"/>
          </w:tcPr>
          <w:p>
            <w:pPr>
              <w:spacing w:line="400" w:lineRule="exact"/>
              <w:jc w:val="center"/>
              <w:rPr>
                <w:rFonts w:hint="eastAsia" w:ascii="仿宋" w:hAnsi="仿宋" w:eastAsia="仿宋"/>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经责令限期改正，逾期未完成或拒不改正的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暂扣实验动物生产、使用许可证</w:t>
            </w:r>
          </w:p>
        </w:tc>
        <w:tc>
          <w:tcPr>
            <w:tcW w:w="659" w:type="pct"/>
            <w:vAlign w:val="center"/>
          </w:tcPr>
          <w:p>
            <w:pPr>
              <w:spacing w:line="400" w:lineRule="exact"/>
              <w:rPr>
                <w:rFonts w:hint="eastAsia" w:ascii="仿宋" w:hAnsi="仿宋" w:eastAsia="仿宋"/>
                <w:sz w:val="24"/>
                <w:szCs w:val="24"/>
              </w:rPr>
            </w:pPr>
          </w:p>
        </w:tc>
      </w:tr>
      <w:tr>
        <w:trPr>
          <w:trHeight w:val="2778" w:hRule="atLeast"/>
        </w:trPr>
        <w:tc>
          <w:tcPr>
            <w:tcW w:w="260" w:type="pct"/>
            <w:vMerge w:val="restart"/>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4</w:t>
            </w:r>
          </w:p>
        </w:tc>
        <w:tc>
          <w:tcPr>
            <w:tcW w:w="625" w:type="pct"/>
            <w:vMerge w:val="restart"/>
            <w:vAlign w:val="center"/>
          </w:tcPr>
          <w:p>
            <w:pPr>
              <w:spacing w:line="400" w:lineRule="exact"/>
              <w:rPr>
                <w:rFonts w:hint="eastAsia" w:ascii="仿宋" w:hAnsi="仿宋" w:eastAsia="仿宋"/>
                <w:sz w:val="24"/>
                <w:szCs w:val="24"/>
              </w:rPr>
            </w:pPr>
            <w:r>
              <w:rPr>
                <w:rFonts w:hint="eastAsia" w:ascii="仿宋" w:hAnsi="仿宋" w:eastAsia="仿宋"/>
                <w:sz w:val="24"/>
                <w:szCs w:val="24"/>
              </w:rPr>
              <w:t>从事实验动物生产活动的单位和个人未定期进行实验动物质量监测</w:t>
            </w:r>
          </w:p>
        </w:tc>
        <w:tc>
          <w:tcPr>
            <w:tcW w:w="1899" w:type="pct"/>
            <w:vMerge w:val="restart"/>
            <w:vAlign w:val="center"/>
          </w:tcPr>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1.《湖北省实验动物管理条例》</w:t>
            </w:r>
            <w:r>
              <w:rPr>
                <w:rFonts w:hint="eastAsia" w:ascii="仿宋" w:hAnsi="仿宋" w:eastAsia="仿宋"/>
                <w:b w:val="0"/>
                <w:bCs w:val="0"/>
                <w:sz w:val="24"/>
                <w:szCs w:val="24"/>
              </w:rPr>
              <w:t>第十一条</w:t>
            </w:r>
            <w:r>
              <w:rPr>
                <w:rFonts w:hint="eastAsia" w:ascii="仿宋" w:hAnsi="仿宋" w:eastAsia="仿宋"/>
                <w:b/>
                <w:bCs/>
                <w:sz w:val="24"/>
                <w:szCs w:val="24"/>
              </w:rPr>
              <w:t>：</w:t>
            </w:r>
            <w:r>
              <w:rPr>
                <w:rFonts w:hint="eastAsia" w:ascii="仿宋" w:hAnsi="仿宋" w:eastAsia="仿宋"/>
                <w:sz w:val="24"/>
                <w:szCs w:val="24"/>
              </w:rPr>
              <w:t>从事实验动物生产活动的单位和个人应当根据遗传学、微生物学、营养学和饲育环境方面的国家标准和要求，定期进行质量监测。各项操作过程和监测数据应当有完整、准确的记录和统计报告。</w:t>
            </w:r>
          </w:p>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2.《湖北省实验动物管理条例》第三十五条：</w:t>
            </w:r>
            <w:r>
              <w:rPr>
                <w:rFonts w:ascii="Calibri" w:hAnsi="Calibri" w:eastAsia="仿宋" w:cs="Calibri"/>
                <w:sz w:val="24"/>
                <w:szCs w:val="24"/>
              </w:rPr>
              <w:t> </w:t>
            </w:r>
            <w:r>
              <w:rPr>
                <w:rFonts w:hint="eastAsia" w:ascii="仿宋" w:hAnsi="仿宋" w:eastAsia="仿宋"/>
                <w:sz w:val="24"/>
                <w:szCs w:val="24"/>
              </w:rPr>
              <w:t> 违反本条例第九条、第十条、第十一条、第十二条、第十三条、第十六条、第十七条、第二十四条、第二十六条、第二十九条、第三十条规定的，由省科学技术行政部门予以警告、责令限期改正</w:t>
            </w:r>
            <w:r>
              <w:rPr>
                <w:rFonts w:hint="eastAsia" w:ascii="仿宋" w:hAnsi="仿宋" w:eastAsia="仿宋"/>
                <w:sz w:val="24"/>
                <w:szCs w:val="24"/>
                <w:lang w:eastAsia="zh-CN"/>
              </w:rPr>
              <w:t>；</w:t>
            </w:r>
            <w:r>
              <w:rPr>
                <w:rFonts w:hint="eastAsia" w:ascii="仿宋" w:hAnsi="仿宋" w:eastAsia="仿宋"/>
                <w:sz w:val="24"/>
                <w:szCs w:val="24"/>
              </w:rPr>
              <w:t>拒不改正的，暂扣实验动物生产、使用许可证。</w:t>
            </w: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超过3个月不满6个月未对实验动物进行质量监测，初次违法且未造成危害后果并及时改正的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不予行政处罚</w:t>
            </w:r>
          </w:p>
        </w:tc>
        <w:tc>
          <w:tcPr>
            <w:tcW w:w="659"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批评教育</w:t>
            </w:r>
          </w:p>
        </w:tc>
      </w:tr>
      <w:tr>
        <w:trPr>
          <w:trHeight w:val="2778" w:hRule="atLeast"/>
        </w:trPr>
        <w:tc>
          <w:tcPr>
            <w:tcW w:w="260" w:type="pct"/>
            <w:vMerge w:val="continue"/>
            <w:vAlign w:val="center"/>
          </w:tcPr>
          <w:p>
            <w:pPr>
              <w:spacing w:line="400" w:lineRule="exact"/>
              <w:jc w:val="center"/>
              <w:rPr>
                <w:rFonts w:hint="eastAsia" w:ascii="仿宋" w:hAnsi="仿宋" w:eastAsia="仿宋"/>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超过6个月不满9个月未对实验动物进行质量监测的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pPr>
              <w:spacing w:line="400" w:lineRule="exact"/>
              <w:rPr>
                <w:rFonts w:hint="eastAsia" w:ascii="仿宋" w:hAnsi="仿宋" w:eastAsia="仿宋"/>
                <w:sz w:val="24"/>
                <w:szCs w:val="24"/>
              </w:rPr>
            </w:pPr>
          </w:p>
        </w:tc>
      </w:tr>
      <w:tr>
        <w:trPr>
          <w:trHeight w:val="2113" w:hRule="atLeast"/>
        </w:trPr>
        <w:tc>
          <w:tcPr>
            <w:tcW w:w="260" w:type="pct"/>
            <w:vMerge w:val="continue"/>
            <w:vAlign w:val="center"/>
          </w:tcPr>
          <w:p>
            <w:pPr>
              <w:spacing w:line="400" w:lineRule="exact"/>
              <w:jc w:val="center"/>
              <w:rPr>
                <w:rFonts w:hint="eastAsia" w:ascii="仿宋" w:hAnsi="仿宋" w:eastAsia="仿宋"/>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超过9个月未对实验动物进行质量监测的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暂扣实验动物生产许可证</w:t>
            </w:r>
          </w:p>
        </w:tc>
        <w:tc>
          <w:tcPr>
            <w:tcW w:w="659" w:type="pct"/>
            <w:vAlign w:val="center"/>
          </w:tcPr>
          <w:p>
            <w:pPr>
              <w:spacing w:line="400" w:lineRule="exact"/>
              <w:rPr>
                <w:rFonts w:hint="eastAsia" w:ascii="仿宋" w:hAnsi="仿宋" w:eastAsia="仿宋"/>
                <w:sz w:val="24"/>
                <w:szCs w:val="24"/>
              </w:rPr>
            </w:pPr>
          </w:p>
        </w:tc>
      </w:tr>
      <w:tr>
        <w:trPr>
          <w:trHeight w:val="2608" w:hRule="atLeast"/>
        </w:trPr>
        <w:tc>
          <w:tcPr>
            <w:tcW w:w="260" w:type="pct"/>
            <w:vMerge w:val="restart"/>
            <w:vAlign w:val="center"/>
          </w:tcPr>
          <w:p>
            <w:pPr>
              <w:spacing w:line="400" w:lineRule="exact"/>
              <w:jc w:val="center"/>
              <w:rPr>
                <w:rFonts w:hint="eastAsia" w:ascii="仿宋" w:hAnsi="仿宋" w:eastAsia="仿宋"/>
                <w:b/>
                <w:bCs/>
                <w:sz w:val="24"/>
                <w:szCs w:val="24"/>
              </w:rPr>
            </w:pPr>
            <w:r>
              <w:rPr>
                <w:rFonts w:hint="eastAsia" w:ascii="仿宋" w:hAnsi="仿宋" w:eastAsia="仿宋"/>
                <w:b/>
                <w:bCs/>
                <w:sz w:val="24"/>
                <w:szCs w:val="24"/>
              </w:rPr>
              <w:t>5</w:t>
            </w:r>
          </w:p>
        </w:tc>
        <w:tc>
          <w:tcPr>
            <w:tcW w:w="625" w:type="pct"/>
            <w:vMerge w:val="restart"/>
            <w:vAlign w:val="center"/>
          </w:tcPr>
          <w:p>
            <w:pPr>
              <w:spacing w:line="400" w:lineRule="exact"/>
              <w:rPr>
                <w:rFonts w:hint="eastAsia" w:ascii="仿宋" w:hAnsi="仿宋" w:eastAsia="仿宋"/>
                <w:sz w:val="24"/>
                <w:szCs w:val="24"/>
              </w:rPr>
            </w:pPr>
            <w:r>
              <w:rPr>
                <w:rFonts w:hint="eastAsia" w:ascii="仿宋" w:hAnsi="仿宋" w:eastAsia="仿宋"/>
                <w:sz w:val="24"/>
                <w:szCs w:val="24"/>
              </w:rPr>
              <w:t>从事实验动物及其相关产品生产的单位和个人，供应、出售实验动物及相关产品时，未提供质量合格证</w:t>
            </w:r>
          </w:p>
        </w:tc>
        <w:tc>
          <w:tcPr>
            <w:tcW w:w="1899" w:type="pct"/>
            <w:vMerge w:val="restart"/>
            <w:vAlign w:val="center"/>
          </w:tcPr>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eastAsia="zh-CN"/>
              </w:rPr>
              <w:t>.</w:t>
            </w:r>
            <w:r>
              <w:rPr>
                <w:rFonts w:hint="eastAsia" w:ascii="仿宋" w:hAnsi="仿宋" w:eastAsia="仿宋"/>
                <w:sz w:val="24"/>
                <w:szCs w:val="24"/>
              </w:rPr>
              <w:t>《湖北省实验动物管理条例》第十二条：从事实验动物及其相关产品生产的单位和个人，供应、出售实验动物及相关产品时，应当提供质量合格证。合格证应当标明实验动物或者相关产品的确切名称、级别、规格、数量，质量检测情况，供应单位、日期，许可证号，并有负责人签字盖章。</w:t>
            </w:r>
          </w:p>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eastAsia="zh-CN"/>
              </w:rPr>
              <w:t>.</w:t>
            </w:r>
            <w:r>
              <w:rPr>
                <w:rFonts w:hint="eastAsia" w:ascii="仿宋" w:hAnsi="仿宋" w:eastAsia="仿宋"/>
                <w:sz w:val="24"/>
                <w:szCs w:val="24"/>
              </w:rPr>
              <w:t>《湖北省实验动物管理条例》第三十五条： 违反本条例第九条、第十条、第十一条、第十二条、第十三条、第十六条、第十七条、第二十四条、第二十六条、第二十九条、第三十条规定的，由省科学技术行政部门予以警告、责令限期改</w:t>
            </w:r>
            <w:r>
              <w:rPr>
                <w:rFonts w:hint="eastAsia" w:ascii="仿宋" w:hAnsi="仿宋" w:eastAsia="仿宋"/>
                <w:sz w:val="24"/>
                <w:szCs w:val="24"/>
                <w:lang w:eastAsia="zh-CN"/>
              </w:rPr>
              <w:t>；</w:t>
            </w:r>
            <w:r>
              <w:rPr>
                <w:rFonts w:hint="eastAsia" w:ascii="仿宋" w:hAnsi="仿宋" w:eastAsia="仿宋"/>
                <w:sz w:val="24"/>
                <w:szCs w:val="24"/>
              </w:rPr>
              <w:t>拒不改正的，暂扣实验动物生产、使用许可证。</w:t>
            </w: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color w:val="000000" w:themeColor="text1"/>
                <w:sz w:val="24"/>
                <w:szCs w:val="24"/>
                <w14:textFill>
                  <w14:solidFill>
                    <w14:schemeClr w14:val="tx1"/>
                  </w14:solidFill>
                </w14:textFill>
              </w:rPr>
              <w:t>初次具有以下违法行为且未造成危害后果并及时改正的的</w:t>
            </w:r>
            <w:r>
              <w:rPr>
                <w:rFonts w:hint="eastAsia" w:ascii="仿宋" w:hAnsi="仿宋" w:eastAsia="仿宋"/>
                <w:color w:val="000000" w:themeColor="text1"/>
                <w:sz w:val="24"/>
                <w:szCs w:val="24"/>
                <w:lang w:eastAsia="zh-CN"/>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代售其他许可生产单位的动物或产品不提供原生产单位开具的质量合格证明的</w:t>
            </w:r>
            <w:r>
              <w:rPr>
                <w:rFonts w:hint="eastAsia" w:ascii="仿宋" w:hAnsi="仿宋" w:eastAsia="仿宋"/>
                <w:color w:val="000000" w:themeColor="text1"/>
                <w:sz w:val="24"/>
                <w:szCs w:val="24"/>
                <w:lang w:eastAsia="zh-CN"/>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质量合格证填写不规范的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不予行政处罚</w:t>
            </w:r>
          </w:p>
        </w:tc>
        <w:tc>
          <w:tcPr>
            <w:tcW w:w="659"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批评教育</w:t>
            </w:r>
          </w:p>
        </w:tc>
      </w:tr>
      <w:tr>
        <w:trPr>
          <w:trHeight w:val="2260" w:hRule="atLeast"/>
        </w:trPr>
        <w:tc>
          <w:tcPr>
            <w:tcW w:w="260" w:type="pct"/>
            <w:vMerge w:val="continue"/>
            <w:vAlign w:val="center"/>
          </w:tcPr>
          <w:p>
            <w:pPr>
              <w:spacing w:line="400" w:lineRule="exact"/>
              <w:jc w:val="center"/>
              <w:rPr>
                <w:rFonts w:hint="eastAsia" w:ascii="仿宋" w:hAnsi="仿宋" w:eastAsia="仿宋"/>
                <w:b/>
                <w:bCs/>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拒绝提供实验动物或相关产品质量合格证的；提供实验动物或相关产品虚假质量合格证的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pPr>
              <w:spacing w:line="400" w:lineRule="exact"/>
              <w:rPr>
                <w:rFonts w:hint="eastAsia" w:ascii="仿宋" w:hAnsi="仿宋" w:eastAsia="仿宋"/>
                <w:sz w:val="24"/>
                <w:szCs w:val="24"/>
              </w:rPr>
            </w:pPr>
          </w:p>
        </w:tc>
      </w:tr>
      <w:tr>
        <w:trPr>
          <w:trHeight w:val="1823" w:hRule="atLeast"/>
        </w:trPr>
        <w:tc>
          <w:tcPr>
            <w:tcW w:w="260" w:type="pct"/>
            <w:vMerge w:val="continue"/>
            <w:vAlign w:val="center"/>
          </w:tcPr>
          <w:p>
            <w:pPr>
              <w:spacing w:line="400" w:lineRule="exact"/>
              <w:jc w:val="center"/>
              <w:rPr>
                <w:rFonts w:hint="eastAsia" w:ascii="仿宋" w:hAnsi="仿宋" w:eastAsia="仿宋"/>
                <w:b/>
                <w:bCs/>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经责令限期改正，逾期未完成或拒不改正的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暂扣实验动物生产许可证</w:t>
            </w:r>
          </w:p>
        </w:tc>
        <w:tc>
          <w:tcPr>
            <w:tcW w:w="659" w:type="pct"/>
            <w:vAlign w:val="center"/>
          </w:tcPr>
          <w:p>
            <w:pPr>
              <w:spacing w:line="400" w:lineRule="exact"/>
              <w:rPr>
                <w:rFonts w:hint="eastAsia" w:ascii="仿宋" w:hAnsi="仿宋" w:eastAsia="仿宋"/>
                <w:sz w:val="24"/>
                <w:szCs w:val="24"/>
              </w:rPr>
            </w:pPr>
          </w:p>
        </w:tc>
      </w:tr>
      <w:tr>
        <w:trPr>
          <w:trHeight w:val="2244" w:hRule="atLeast"/>
        </w:trPr>
        <w:tc>
          <w:tcPr>
            <w:tcW w:w="260" w:type="pct"/>
            <w:vMerge w:val="restart"/>
            <w:vAlign w:val="center"/>
          </w:tcPr>
          <w:p>
            <w:pPr>
              <w:spacing w:line="400" w:lineRule="exact"/>
              <w:jc w:val="center"/>
              <w:rPr>
                <w:rFonts w:hint="eastAsia" w:ascii="仿宋" w:hAnsi="仿宋" w:eastAsia="仿宋"/>
                <w:b/>
                <w:bCs/>
                <w:sz w:val="24"/>
                <w:szCs w:val="24"/>
              </w:rPr>
            </w:pPr>
            <w:r>
              <w:rPr>
                <w:rFonts w:hint="eastAsia" w:ascii="仿宋" w:hAnsi="仿宋" w:eastAsia="仿宋"/>
                <w:sz w:val="24"/>
                <w:szCs w:val="24"/>
              </w:rPr>
              <w:t>6</w:t>
            </w:r>
          </w:p>
        </w:tc>
        <w:tc>
          <w:tcPr>
            <w:tcW w:w="625" w:type="pct"/>
            <w:vMerge w:val="restart"/>
            <w:vAlign w:val="center"/>
          </w:tcPr>
          <w:p>
            <w:pPr>
              <w:spacing w:line="400" w:lineRule="exact"/>
              <w:rPr>
                <w:rFonts w:hint="eastAsia" w:ascii="仿宋" w:hAnsi="仿宋" w:eastAsia="仿宋"/>
                <w:sz w:val="24"/>
                <w:szCs w:val="24"/>
              </w:rPr>
            </w:pPr>
            <w:r>
              <w:rPr>
                <w:rFonts w:hint="eastAsia" w:ascii="仿宋" w:hAnsi="仿宋" w:eastAsia="仿宋"/>
                <w:sz w:val="24"/>
                <w:szCs w:val="24"/>
              </w:rPr>
              <w:t>实验动物运输不符合实验动物质量及健康要求；不同品种、品系和等级的实验动物混合装运</w:t>
            </w:r>
          </w:p>
        </w:tc>
        <w:tc>
          <w:tcPr>
            <w:tcW w:w="1899" w:type="pct"/>
            <w:vMerge w:val="restart"/>
            <w:vAlign w:val="center"/>
          </w:tcPr>
          <w:p>
            <w:pPr>
              <w:spacing w:line="400" w:lineRule="exact"/>
              <w:ind w:firstLine="480" w:firstLineChars="200"/>
              <w:jc w:val="left"/>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eastAsia="zh-CN"/>
              </w:rPr>
              <w:t>.</w:t>
            </w:r>
            <w:r>
              <w:rPr>
                <w:rFonts w:hint="eastAsia" w:ascii="仿宋" w:hAnsi="仿宋" w:eastAsia="仿宋"/>
                <w:sz w:val="24"/>
                <w:szCs w:val="24"/>
              </w:rPr>
              <w:t>《湖北省实验动物管理条例》第十三条：运输实验动物应当严格遵守国家有关规定，使用符合实验动物质量标准、等级要求的运输工具和笼器具，保证实验动物的质量及健康要求。</w:t>
            </w:r>
          </w:p>
          <w:p>
            <w:pPr>
              <w:spacing w:line="400" w:lineRule="exact"/>
              <w:jc w:val="left"/>
              <w:rPr>
                <w:rFonts w:hint="eastAsia" w:ascii="仿宋" w:hAnsi="仿宋" w:eastAsia="仿宋"/>
                <w:sz w:val="24"/>
                <w:szCs w:val="24"/>
              </w:rPr>
            </w:pPr>
            <w:r>
              <w:rPr>
                <w:rFonts w:hint="eastAsia" w:ascii="仿宋" w:hAnsi="仿宋" w:eastAsia="仿宋"/>
                <w:sz w:val="24"/>
                <w:szCs w:val="24"/>
              </w:rPr>
              <w:t>不同品种、品系和等级的实验动物不得混合装运。</w:t>
            </w:r>
          </w:p>
          <w:p>
            <w:pPr>
              <w:spacing w:line="400" w:lineRule="exact"/>
              <w:ind w:firstLine="480" w:firstLineChars="200"/>
              <w:jc w:val="left"/>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eastAsia="zh-CN"/>
              </w:rPr>
              <w:t>.</w:t>
            </w:r>
            <w:r>
              <w:rPr>
                <w:rFonts w:hint="eastAsia" w:ascii="仿宋" w:hAnsi="仿宋" w:eastAsia="仿宋"/>
                <w:sz w:val="24"/>
                <w:szCs w:val="24"/>
              </w:rPr>
              <w:t>《湖北省实验动物管理条例》第三十五条：</w:t>
            </w:r>
            <w:r>
              <w:rPr>
                <w:rFonts w:ascii="Calibri" w:hAnsi="Calibri" w:eastAsia="仿宋" w:cs="Calibri"/>
                <w:sz w:val="24"/>
                <w:szCs w:val="24"/>
              </w:rPr>
              <w:t> </w:t>
            </w:r>
            <w:r>
              <w:rPr>
                <w:rFonts w:hint="eastAsia" w:ascii="仿宋" w:hAnsi="仿宋" w:eastAsia="仿宋"/>
                <w:sz w:val="24"/>
                <w:szCs w:val="24"/>
              </w:rPr>
              <w:t> 违反本条例第九条、第十条、第十一条、第十二条、第十三条、第十六条、第十七条、第二十四条、第二十六条、第二十九条、第三十条规定的，由省科学技术行政部门予以警告、责令限期改正</w:t>
            </w:r>
            <w:r>
              <w:rPr>
                <w:rFonts w:hint="eastAsia" w:ascii="仿宋" w:hAnsi="仿宋" w:eastAsia="仿宋"/>
                <w:sz w:val="24"/>
                <w:szCs w:val="24"/>
                <w:lang w:eastAsia="zh-CN"/>
              </w:rPr>
              <w:t>；</w:t>
            </w:r>
            <w:r>
              <w:rPr>
                <w:rFonts w:hint="eastAsia" w:ascii="仿宋" w:hAnsi="仿宋" w:eastAsia="仿宋"/>
                <w:sz w:val="24"/>
                <w:szCs w:val="24"/>
              </w:rPr>
              <w:t>拒不改正的，暂扣实验动物生产、使用许可证。</w:t>
            </w: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实验动物运输过程中运输工具或笼器具不满足实验动物等级要求</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pPr>
              <w:spacing w:line="400" w:lineRule="exact"/>
              <w:rPr>
                <w:rFonts w:hint="eastAsia" w:ascii="仿宋" w:hAnsi="仿宋" w:eastAsia="仿宋"/>
                <w:sz w:val="24"/>
                <w:szCs w:val="24"/>
              </w:rPr>
            </w:pPr>
          </w:p>
        </w:tc>
      </w:tr>
      <w:tr>
        <w:trPr>
          <w:trHeight w:val="2259" w:hRule="atLeast"/>
        </w:trPr>
        <w:tc>
          <w:tcPr>
            <w:tcW w:w="260" w:type="pct"/>
            <w:vMerge w:val="continue"/>
            <w:vAlign w:val="center"/>
          </w:tcPr>
          <w:p>
            <w:pPr>
              <w:spacing w:line="400" w:lineRule="exact"/>
              <w:jc w:val="center"/>
              <w:rPr>
                <w:rFonts w:hint="eastAsia" w:ascii="仿宋" w:hAnsi="仿宋" w:eastAsia="仿宋"/>
                <w:b/>
                <w:bCs/>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实验动物运输过程中将不同品种、品系和等级的实验动物混合装运</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pPr>
              <w:spacing w:line="400" w:lineRule="exact"/>
              <w:rPr>
                <w:rFonts w:hint="eastAsia" w:ascii="仿宋" w:hAnsi="仿宋" w:eastAsia="仿宋"/>
                <w:sz w:val="24"/>
                <w:szCs w:val="24"/>
              </w:rPr>
            </w:pPr>
          </w:p>
        </w:tc>
      </w:tr>
      <w:tr>
        <w:trPr>
          <w:trHeight w:val="3255" w:hRule="atLeast"/>
        </w:trPr>
        <w:tc>
          <w:tcPr>
            <w:tcW w:w="260" w:type="pct"/>
            <w:vMerge w:val="continue"/>
            <w:vAlign w:val="center"/>
          </w:tcPr>
          <w:p>
            <w:pPr>
              <w:spacing w:line="400" w:lineRule="exact"/>
              <w:jc w:val="center"/>
              <w:rPr>
                <w:rFonts w:hint="eastAsia" w:ascii="仿宋" w:hAnsi="仿宋" w:eastAsia="仿宋"/>
                <w:b/>
                <w:bCs/>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经责令限期改正，逾期未完成或拒不改正的；违法行为导致发生生物安全事故等严重危害后果的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暂扣实验动物生产许可证</w:t>
            </w:r>
          </w:p>
        </w:tc>
        <w:tc>
          <w:tcPr>
            <w:tcW w:w="659" w:type="pct"/>
            <w:vAlign w:val="center"/>
          </w:tcPr>
          <w:p>
            <w:pPr>
              <w:spacing w:line="400" w:lineRule="exact"/>
              <w:rPr>
                <w:rFonts w:hint="eastAsia" w:ascii="仿宋" w:hAnsi="仿宋" w:eastAsia="仿宋"/>
                <w:sz w:val="24"/>
                <w:szCs w:val="24"/>
              </w:rPr>
            </w:pPr>
            <w:r>
              <w:rPr>
                <w:rFonts w:hint="eastAsia" w:ascii="仿宋" w:hAnsi="仿宋" w:eastAsia="仿宋"/>
                <w:color w:val="auto"/>
                <w:sz w:val="24"/>
                <w:szCs w:val="24"/>
              </w:rPr>
              <w:t>通报地方生态环</w:t>
            </w:r>
            <w:r>
              <w:rPr>
                <w:rFonts w:hint="eastAsia" w:ascii="仿宋" w:hAnsi="仿宋" w:eastAsia="仿宋"/>
                <w:color w:val="auto"/>
                <w:sz w:val="24"/>
                <w:szCs w:val="24"/>
                <w:lang w:eastAsia="zh-CN"/>
              </w:rPr>
              <w:t>境、</w:t>
            </w:r>
            <w:r>
              <w:rPr>
                <w:rFonts w:hint="eastAsia" w:ascii="仿宋" w:hAnsi="仿宋" w:eastAsia="仿宋"/>
                <w:color w:val="auto"/>
                <w:sz w:val="24"/>
                <w:szCs w:val="24"/>
              </w:rPr>
              <w:t>农业农村、卫生</w:t>
            </w:r>
            <w:r>
              <w:rPr>
                <w:rFonts w:hint="eastAsia" w:ascii="仿宋" w:hAnsi="仿宋" w:eastAsia="仿宋"/>
                <w:color w:val="auto"/>
                <w:sz w:val="24"/>
                <w:szCs w:val="24"/>
                <w:lang w:eastAsia="zh-CN"/>
              </w:rPr>
              <w:t>健康</w:t>
            </w:r>
            <w:r>
              <w:rPr>
                <w:rFonts w:hint="eastAsia" w:ascii="仿宋" w:hAnsi="仿宋" w:eastAsia="仿宋"/>
                <w:color w:val="auto"/>
                <w:sz w:val="24"/>
                <w:szCs w:val="24"/>
              </w:rPr>
              <w:t>等管理部门处理</w:t>
            </w:r>
          </w:p>
        </w:tc>
      </w:tr>
      <w:tr>
        <w:trPr>
          <w:trHeight w:val="1615" w:hRule="atLeast"/>
        </w:trPr>
        <w:tc>
          <w:tcPr>
            <w:tcW w:w="260" w:type="pct"/>
            <w:vMerge w:val="restart"/>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7</w:t>
            </w:r>
          </w:p>
        </w:tc>
        <w:tc>
          <w:tcPr>
            <w:tcW w:w="625" w:type="pct"/>
            <w:vMerge w:val="restart"/>
            <w:vAlign w:val="center"/>
          </w:tcPr>
          <w:p>
            <w:pPr>
              <w:spacing w:line="400" w:lineRule="exact"/>
              <w:rPr>
                <w:rFonts w:hint="eastAsia" w:ascii="仿宋" w:hAnsi="仿宋" w:eastAsia="仿宋"/>
                <w:sz w:val="24"/>
                <w:szCs w:val="24"/>
              </w:rPr>
            </w:pPr>
            <w:r>
              <w:rPr>
                <w:rFonts w:hint="eastAsia" w:ascii="仿宋" w:hAnsi="仿宋" w:eastAsia="仿宋"/>
                <w:sz w:val="24"/>
                <w:szCs w:val="24"/>
              </w:rPr>
              <w:t>从事动物实验未根据应用目的选用相应等级要求的实验动物；同一间实验室同时进行不同品种、不同等级或者互有干扰的动物实验</w:t>
            </w:r>
          </w:p>
        </w:tc>
        <w:tc>
          <w:tcPr>
            <w:tcW w:w="1899" w:type="pct"/>
            <w:vMerge w:val="restart"/>
            <w:vAlign w:val="center"/>
          </w:tcPr>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eastAsia="zh-CN"/>
              </w:rPr>
              <w:t>.</w:t>
            </w:r>
            <w:r>
              <w:rPr>
                <w:rFonts w:hint="eastAsia" w:ascii="仿宋" w:hAnsi="仿宋" w:eastAsia="仿宋"/>
                <w:sz w:val="24"/>
                <w:szCs w:val="24"/>
              </w:rPr>
              <w:t>《湖北省实验动物管理条例》第十七条：从事动物实验应当根据应用目的，选用相应等级要求的实验动物。同一间实验室不得同时进行不同品种、不同等级或者互有干扰的动物实验。</w:t>
            </w:r>
          </w:p>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eastAsia="zh-CN"/>
              </w:rPr>
              <w:t>.</w:t>
            </w:r>
            <w:r>
              <w:rPr>
                <w:rFonts w:hint="eastAsia" w:ascii="仿宋" w:hAnsi="仿宋" w:eastAsia="仿宋"/>
                <w:sz w:val="24"/>
                <w:szCs w:val="24"/>
              </w:rPr>
              <w:t>《湖北省实验动物管理条例》第三十五条：违反本条例第九条、第十条、第十一条、第十二条、第十三条、第十六条、第十七条、第二十四条、第二十六条、第二十九条、第三十条规定的，由省科学技术行政部门予以警告、责令限期改正</w:t>
            </w:r>
            <w:r>
              <w:rPr>
                <w:rFonts w:hint="eastAsia" w:ascii="仿宋" w:hAnsi="仿宋" w:eastAsia="仿宋"/>
                <w:sz w:val="24"/>
                <w:szCs w:val="24"/>
                <w:lang w:eastAsia="zh-CN"/>
              </w:rPr>
              <w:t>；</w:t>
            </w:r>
            <w:r>
              <w:rPr>
                <w:rFonts w:hint="eastAsia" w:ascii="仿宋" w:hAnsi="仿宋" w:eastAsia="仿宋"/>
                <w:sz w:val="24"/>
                <w:szCs w:val="24"/>
              </w:rPr>
              <w:t>拒不改正的，暂扣实验动物生产、使用许可证。</w:t>
            </w: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从事动物实验未根据应用目的选用相应等级要求的实验动物</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pPr>
              <w:spacing w:line="400" w:lineRule="exact"/>
              <w:rPr>
                <w:rFonts w:hint="eastAsia" w:ascii="仿宋" w:hAnsi="仿宋" w:eastAsia="仿宋"/>
                <w:sz w:val="24"/>
                <w:szCs w:val="24"/>
              </w:rPr>
            </w:pPr>
          </w:p>
        </w:tc>
      </w:tr>
      <w:tr>
        <w:trPr>
          <w:trHeight w:val="2778" w:hRule="atLeast"/>
        </w:trPr>
        <w:tc>
          <w:tcPr>
            <w:tcW w:w="260" w:type="pct"/>
            <w:vMerge w:val="continue"/>
            <w:vAlign w:val="center"/>
          </w:tcPr>
          <w:p>
            <w:pPr>
              <w:spacing w:line="400" w:lineRule="exact"/>
              <w:jc w:val="center"/>
              <w:rPr>
                <w:rFonts w:hint="eastAsia" w:ascii="仿宋" w:hAnsi="仿宋" w:eastAsia="仿宋"/>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同一间实验室同时进行不同品种、不同等级或者互有干扰的动物实验</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pPr>
              <w:spacing w:line="400" w:lineRule="exact"/>
              <w:rPr>
                <w:rFonts w:hint="eastAsia" w:ascii="仿宋" w:hAnsi="仿宋" w:eastAsia="仿宋"/>
                <w:sz w:val="24"/>
                <w:szCs w:val="24"/>
              </w:rPr>
            </w:pPr>
          </w:p>
        </w:tc>
      </w:tr>
      <w:tr>
        <w:trPr>
          <w:trHeight w:val="2338" w:hRule="atLeast"/>
        </w:trPr>
        <w:tc>
          <w:tcPr>
            <w:tcW w:w="260" w:type="pct"/>
            <w:vMerge w:val="continue"/>
            <w:vAlign w:val="center"/>
          </w:tcPr>
          <w:p>
            <w:pPr>
              <w:spacing w:line="400" w:lineRule="exact"/>
              <w:jc w:val="center"/>
              <w:rPr>
                <w:rFonts w:hint="eastAsia" w:ascii="仿宋" w:hAnsi="仿宋" w:eastAsia="仿宋"/>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经责令限期改正，逾期未完成或拒不改正的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暂扣实验动物使用许可证</w:t>
            </w:r>
          </w:p>
        </w:tc>
        <w:tc>
          <w:tcPr>
            <w:tcW w:w="659" w:type="pct"/>
            <w:vAlign w:val="center"/>
          </w:tcPr>
          <w:p>
            <w:pPr>
              <w:spacing w:line="400" w:lineRule="exact"/>
              <w:rPr>
                <w:rFonts w:hint="eastAsia" w:ascii="仿宋" w:hAnsi="仿宋" w:eastAsia="仿宋"/>
                <w:sz w:val="24"/>
                <w:szCs w:val="24"/>
              </w:rPr>
            </w:pPr>
          </w:p>
        </w:tc>
      </w:tr>
      <w:tr>
        <w:trPr>
          <w:trHeight w:val="2543" w:hRule="atLeast"/>
        </w:trPr>
        <w:tc>
          <w:tcPr>
            <w:tcW w:w="260" w:type="pct"/>
            <w:vMerge w:val="restart"/>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8</w:t>
            </w:r>
          </w:p>
        </w:tc>
        <w:tc>
          <w:tcPr>
            <w:tcW w:w="625" w:type="pct"/>
            <w:vMerge w:val="restart"/>
            <w:vAlign w:val="center"/>
          </w:tcPr>
          <w:p>
            <w:pPr>
              <w:spacing w:line="400" w:lineRule="exact"/>
              <w:rPr>
                <w:rFonts w:hint="eastAsia" w:ascii="仿宋" w:hAnsi="仿宋" w:eastAsia="仿宋"/>
                <w:sz w:val="24"/>
                <w:szCs w:val="24"/>
              </w:rPr>
            </w:pPr>
            <w:r>
              <w:rPr>
                <w:rFonts w:hint="eastAsia" w:ascii="仿宋" w:hAnsi="仿宋" w:eastAsia="仿宋"/>
                <w:sz w:val="24"/>
                <w:szCs w:val="24"/>
              </w:rPr>
              <w:t>从事实验动物工作的单位和个人，未能</w:t>
            </w:r>
            <w:r>
              <w:rPr>
                <w:rFonts w:hint="eastAsia" w:ascii="仿宋" w:hAnsi="仿宋" w:eastAsia="仿宋"/>
                <w:sz w:val="24"/>
                <w:szCs w:val="24"/>
                <w:lang w:eastAsia="zh-CN"/>
              </w:rPr>
              <w:t>防止</w:t>
            </w:r>
            <w:r>
              <w:rPr>
                <w:rFonts w:hint="eastAsia" w:ascii="仿宋" w:hAnsi="仿宋" w:eastAsia="仿宋"/>
                <w:sz w:val="24"/>
                <w:szCs w:val="24"/>
              </w:rPr>
              <w:t>可能危及人身健康和公共卫生安全的实验动物流出实验动物环境设施</w:t>
            </w:r>
          </w:p>
        </w:tc>
        <w:tc>
          <w:tcPr>
            <w:tcW w:w="1899" w:type="pct"/>
            <w:vMerge w:val="restart"/>
            <w:vAlign w:val="center"/>
          </w:tcPr>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eastAsia="zh-CN"/>
              </w:rPr>
              <w:t>.</w:t>
            </w:r>
            <w:r>
              <w:rPr>
                <w:rFonts w:hint="eastAsia" w:ascii="仿宋" w:hAnsi="仿宋" w:eastAsia="仿宋"/>
                <w:sz w:val="24"/>
                <w:szCs w:val="24"/>
              </w:rPr>
              <w:t>《湖北省实验动物管理条例》第二十四条：从事实验动物工作的单位和个人，应当保障生物安全，严防可能危及人身健康和公共卫生安全的实验动物流出实验动物环境设施。</w:t>
            </w:r>
          </w:p>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eastAsia="zh-CN"/>
              </w:rPr>
              <w:t>.</w:t>
            </w:r>
            <w:r>
              <w:rPr>
                <w:rFonts w:hint="eastAsia" w:ascii="仿宋" w:hAnsi="仿宋" w:eastAsia="仿宋"/>
                <w:sz w:val="24"/>
                <w:szCs w:val="24"/>
              </w:rPr>
              <w:t>《湖北省实验动物管理条例》第三十五条：违反本条例第九条、第十条、第十一条、第十二条、第十三条、第十六条、第十七条、第二十四条、第二十六条、第二十九条、第三十条规定的，由省科学技术行政部门予以警告、责令限期改正</w:t>
            </w:r>
            <w:r>
              <w:rPr>
                <w:rFonts w:hint="eastAsia" w:ascii="仿宋" w:hAnsi="仿宋" w:eastAsia="仿宋"/>
                <w:sz w:val="24"/>
                <w:szCs w:val="24"/>
                <w:lang w:eastAsia="zh-CN"/>
              </w:rPr>
              <w:t>；</w:t>
            </w:r>
            <w:r>
              <w:rPr>
                <w:rFonts w:hint="eastAsia" w:ascii="仿宋" w:hAnsi="仿宋" w:eastAsia="仿宋"/>
                <w:sz w:val="24"/>
                <w:szCs w:val="24"/>
              </w:rPr>
              <w:t>拒不改正的，暂扣实验动物生产、使用许可证。</w:t>
            </w:r>
          </w:p>
        </w:tc>
        <w:tc>
          <w:tcPr>
            <w:tcW w:w="841" w:type="pct"/>
            <w:vAlign w:val="center"/>
          </w:tcPr>
          <w:p>
            <w:pPr>
              <w:spacing w:line="400" w:lineRule="exact"/>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使用后的实验动物（用于病原体感染、放射性研究的除外）流出实验动物环境设施，未导致生物安全事故的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pPr>
              <w:spacing w:line="400" w:lineRule="exact"/>
              <w:rPr>
                <w:rFonts w:hint="eastAsia" w:ascii="仿宋" w:hAnsi="仿宋" w:eastAsia="仿宋"/>
                <w:sz w:val="24"/>
                <w:szCs w:val="24"/>
                <w:lang w:eastAsia="zh-CN"/>
              </w:rPr>
            </w:pPr>
            <w:r>
              <w:rPr>
                <w:rFonts w:hint="eastAsia" w:ascii="仿宋" w:hAnsi="仿宋" w:eastAsia="仿宋"/>
                <w:sz w:val="24"/>
                <w:szCs w:val="24"/>
                <w:lang w:eastAsia="zh-CN"/>
              </w:rPr>
              <w:t>法律另有规定的，从其规定</w:t>
            </w:r>
          </w:p>
        </w:tc>
      </w:tr>
      <w:tr>
        <w:trPr>
          <w:trHeight w:val="2558" w:hRule="atLeast"/>
        </w:trPr>
        <w:tc>
          <w:tcPr>
            <w:tcW w:w="260" w:type="pct"/>
            <w:vMerge w:val="continue"/>
            <w:vAlign w:val="center"/>
          </w:tcPr>
          <w:p>
            <w:pPr>
              <w:spacing w:line="400" w:lineRule="exact"/>
              <w:jc w:val="center"/>
              <w:rPr>
                <w:rFonts w:hint="eastAsia" w:ascii="仿宋" w:hAnsi="仿宋" w:eastAsia="仿宋"/>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用于病原体感染、化学染毒、放射性研究的实验动物流出实验动物环境设施，未导致生物安全事故的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pPr>
              <w:spacing w:line="400" w:lineRule="exact"/>
              <w:rPr>
                <w:rFonts w:hint="eastAsia" w:ascii="仿宋" w:hAnsi="仿宋" w:eastAsia="仿宋"/>
                <w:sz w:val="24"/>
                <w:szCs w:val="24"/>
              </w:rPr>
            </w:pPr>
            <w:r>
              <w:rPr>
                <w:rFonts w:hint="eastAsia" w:ascii="仿宋" w:hAnsi="仿宋" w:eastAsia="仿宋"/>
                <w:sz w:val="24"/>
                <w:szCs w:val="24"/>
                <w:lang w:eastAsia="zh-CN"/>
              </w:rPr>
              <w:t>法律另有规定的，从其规定</w:t>
            </w:r>
          </w:p>
        </w:tc>
      </w:tr>
      <w:tr>
        <w:trPr>
          <w:trHeight w:val="2778" w:hRule="atLeast"/>
        </w:trPr>
        <w:tc>
          <w:tcPr>
            <w:tcW w:w="260" w:type="pct"/>
            <w:vMerge w:val="continue"/>
            <w:vAlign w:val="center"/>
          </w:tcPr>
          <w:p>
            <w:pPr>
              <w:spacing w:line="400" w:lineRule="exact"/>
              <w:jc w:val="center"/>
              <w:rPr>
                <w:rFonts w:hint="eastAsia" w:ascii="仿宋" w:hAnsi="仿宋" w:eastAsia="仿宋"/>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经责令限期改正，逾期未完成或拒不改正的；使用后的实验动物流出实验动物环境设施，导致生物安全事故的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暂扣实验动物生产、使用许可证</w:t>
            </w:r>
          </w:p>
        </w:tc>
        <w:tc>
          <w:tcPr>
            <w:tcW w:w="659" w:type="pct"/>
            <w:vAlign w:val="center"/>
          </w:tcPr>
          <w:p>
            <w:pPr>
              <w:spacing w:line="400" w:lineRule="exact"/>
              <w:rPr>
                <w:rFonts w:hint="eastAsia" w:ascii="仿宋" w:hAnsi="仿宋" w:eastAsia="仿宋"/>
                <w:sz w:val="24"/>
                <w:szCs w:val="24"/>
              </w:rPr>
            </w:pPr>
            <w:r>
              <w:rPr>
                <w:rFonts w:hint="eastAsia" w:ascii="仿宋" w:hAnsi="仿宋" w:eastAsia="仿宋"/>
                <w:color w:val="auto"/>
                <w:sz w:val="24"/>
                <w:szCs w:val="24"/>
              </w:rPr>
              <w:t>通报地方生态环</w:t>
            </w:r>
            <w:r>
              <w:rPr>
                <w:rFonts w:hint="eastAsia" w:ascii="仿宋" w:hAnsi="仿宋" w:eastAsia="仿宋"/>
                <w:color w:val="auto"/>
                <w:sz w:val="24"/>
                <w:szCs w:val="24"/>
                <w:lang w:eastAsia="zh-CN"/>
              </w:rPr>
              <w:t>境、</w:t>
            </w:r>
            <w:r>
              <w:rPr>
                <w:rFonts w:hint="eastAsia" w:ascii="仿宋" w:hAnsi="仿宋" w:eastAsia="仿宋"/>
                <w:color w:val="auto"/>
                <w:sz w:val="24"/>
                <w:szCs w:val="24"/>
              </w:rPr>
              <w:t>农业农村、卫生</w:t>
            </w:r>
            <w:r>
              <w:rPr>
                <w:rFonts w:hint="eastAsia" w:ascii="仿宋" w:hAnsi="仿宋" w:eastAsia="仿宋"/>
                <w:color w:val="auto"/>
                <w:sz w:val="24"/>
                <w:szCs w:val="24"/>
                <w:lang w:eastAsia="zh-CN"/>
              </w:rPr>
              <w:t>健康</w:t>
            </w:r>
            <w:r>
              <w:rPr>
                <w:rFonts w:hint="eastAsia" w:ascii="仿宋" w:hAnsi="仿宋" w:eastAsia="仿宋"/>
                <w:color w:val="auto"/>
                <w:sz w:val="24"/>
                <w:szCs w:val="24"/>
              </w:rPr>
              <w:t>等管理部门处理</w:t>
            </w:r>
          </w:p>
        </w:tc>
      </w:tr>
      <w:tr>
        <w:trPr>
          <w:trHeight w:val="2778" w:hRule="atLeast"/>
        </w:trPr>
        <w:tc>
          <w:tcPr>
            <w:tcW w:w="260" w:type="pct"/>
            <w:vMerge w:val="restart"/>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9</w:t>
            </w:r>
          </w:p>
        </w:tc>
        <w:tc>
          <w:tcPr>
            <w:tcW w:w="625" w:type="pct"/>
            <w:vMerge w:val="restart"/>
            <w:vAlign w:val="center"/>
          </w:tcPr>
          <w:p>
            <w:pPr>
              <w:spacing w:line="400" w:lineRule="exact"/>
              <w:rPr>
                <w:rFonts w:hint="eastAsia" w:ascii="仿宋" w:hAnsi="仿宋" w:eastAsia="仿宋"/>
                <w:sz w:val="24"/>
                <w:szCs w:val="24"/>
              </w:rPr>
            </w:pPr>
            <w:r>
              <w:rPr>
                <w:rFonts w:hint="eastAsia" w:ascii="仿宋" w:hAnsi="仿宋" w:eastAsia="仿宋"/>
                <w:sz w:val="24"/>
                <w:szCs w:val="24"/>
              </w:rPr>
              <w:t>不再使用的实验动物活体、尸体及废弃物、废水、废气等未经无害化处理</w:t>
            </w:r>
          </w:p>
        </w:tc>
        <w:tc>
          <w:tcPr>
            <w:tcW w:w="1899" w:type="pct"/>
            <w:vMerge w:val="restart"/>
            <w:vAlign w:val="center"/>
          </w:tcPr>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eastAsia="zh-CN"/>
              </w:rPr>
              <w:t>.</w:t>
            </w:r>
            <w:r>
              <w:rPr>
                <w:rFonts w:hint="eastAsia" w:ascii="仿宋" w:hAnsi="仿宋" w:eastAsia="仿宋"/>
                <w:sz w:val="24"/>
                <w:szCs w:val="24"/>
              </w:rPr>
              <w:t>《湖北省实验动物管理条例》第二十六条：不再使用的实验动物活体、尸体及废弃物、废水、废气等，应当经无害化处理。</w:t>
            </w:r>
          </w:p>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eastAsia="zh-CN"/>
              </w:rPr>
              <w:t>.</w:t>
            </w:r>
            <w:r>
              <w:rPr>
                <w:rFonts w:hint="eastAsia" w:ascii="仿宋" w:hAnsi="仿宋" w:eastAsia="仿宋"/>
                <w:sz w:val="24"/>
                <w:szCs w:val="24"/>
              </w:rPr>
              <w:t>《湖北省实验动物管理条例》第三十五条：违反本条例第九条、第十条、第十一条、第十二条、第十三条、第十六条、第十七条、第二十四条、第二十六条、第二十九条、第三十条规定的，由省科学技术行政部门予以警告、责令限期改</w:t>
            </w:r>
            <w:r>
              <w:rPr>
                <w:rFonts w:hint="eastAsia" w:ascii="仿宋" w:hAnsi="仿宋" w:eastAsia="仿宋"/>
                <w:sz w:val="24"/>
                <w:szCs w:val="24"/>
                <w:lang w:eastAsia="zh-CN"/>
              </w:rPr>
              <w:t>；</w:t>
            </w:r>
            <w:r>
              <w:rPr>
                <w:rFonts w:hint="eastAsia" w:ascii="仿宋" w:hAnsi="仿宋" w:eastAsia="仿宋"/>
                <w:sz w:val="24"/>
                <w:szCs w:val="24"/>
              </w:rPr>
              <w:t>拒不改正的，暂扣实验动物生产、使用许可证。</w:t>
            </w: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不再使用的实验动物活体、尸体及废弃物、废水、废气等无害化处理不当的，初次违法且未造成危害后果并及时改正的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不予行政处罚</w:t>
            </w:r>
          </w:p>
        </w:tc>
        <w:tc>
          <w:tcPr>
            <w:tcW w:w="659"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批评教育</w:t>
            </w:r>
          </w:p>
        </w:tc>
      </w:tr>
      <w:tr>
        <w:trPr>
          <w:trHeight w:val="2228" w:hRule="atLeast"/>
        </w:trPr>
        <w:tc>
          <w:tcPr>
            <w:tcW w:w="260" w:type="pct"/>
            <w:vMerge w:val="continue"/>
            <w:vAlign w:val="center"/>
          </w:tcPr>
          <w:p>
            <w:pPr>
              <w:spacing w:line="400" w:lineRule="exact"/>
              <w:jc w:val="center"/>
              <w:rPr>
                <w:rFonts w:hint="eastAsia" w:ascii="仿宋" w:hAnsi="仿宋" w:eastAsia="仿宋"/>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不再使用的实验动物活体、尸体及废弃物、废水、废气等再次处理不当，或未经无害化处理且未造成严重后果的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pPr>
              <w:spacing w:line="400" w:lineRule="exact"/>
              <w:rPr>
                <w:rFonts w:hint="eastAsia" w:ascii="仿宋" w:hAnsi="仿宋" w:eastAsia="仿宋"/>
                <w:sz w:val="24"/>
                <w:szCs w:val="24"/>
              </w:rPr>
            </w:pPr>
          </w:p>
        </w:tc>
      </w:tr>
      <w:tr>
        <w:trPr>
          <w:trHeight w:val="2603" w:hRule="atLeast"/>
        </w:trPr>
        <w:tc>
          <w:tcPr>
            <w:tcW w:w="260" w:type="pct"/>
            <w:vMerge w:val="continue"/>
            <w:vAlign w:val="center"/>
          </w:tcPr>
          <w:p>
            <w:pPr>
              <w:spacing w:line="400" w:lineRule="exact"/>
              <w:jc w:val="center"/>
              <w:rPr>
                <w:rFonts w:hint="eastAsia" w:ascii="仿宋" w:hAnsi="仿宋" w:eastAsia="仿宋"/>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不再使用的实验动物活体、尸体及废弃物、废水、废气等未经无害化处理，且导致生物安全事故的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暂扣实验动物生产、使用许可证</w:t>
            </w:r>
          </w:p>
        </w:tc>
        <w:tc>
          <w:tcPr>
            <w:tcW w:w="659" w:type="pct"/>
            <w:vAlign w:val="center"/>
          </w:tcPr>
          <w:p>
            <w:pPr>
              <w:spacing w:line="400" w:lineRule="exact"/>
              <w:rPr>
                <w:rFonts w:hint="eastAsia" w:ascii="仿宋" w:hAnsi="仿宋" w:eastAsia="仿宋"/>
                <w:sz w:val="24"/>
                <w:szCs w:val="24"/>
              </w:rPr>
            </w:pPr>
            <w:r>
              <w:rPr>
                <w:rFonts w:hint="eastAsia" w:ascii="仿宋" w:hAnsi="仿宋" w:eastAsia="仿宋"/>
                <w:color w:val="auto"/>
                <w:sz w:val="24"/>
                <w:szCs w:val="24"/>
              </w:rPr>
              <w:t>通报地方生态环</w:t>
            </w:r>
            <w:r>
              <w:rPr>
                <w:rFonts w:hint="eastAsia" w:ascii="仿宋" w:hAnsi="仿宋" w:eastAsia="仿宋"/>
                <w:color w:val="auto"/>
                <w:sz w:val="24"/>
                <w:szCs w:val="24"/>
                <w:lang w:eastAsia="zh-CN"/>
              </w:rPr>
              <w:t>境、</w:t>
            </w:r>
            <w:r>
              <w:rPr>
                <w:rFonts w:hint="eastAsia" w:ascii="仿宋" w:hAnsi="仿宋" w:eastAsia="仿宋"/>
                <w:color w:val="auto"/>
                <w:sz w:val="24"/>
                <w:szCs w:val="24"/>
              </w:rPr>
              <w:t>农业农村、卫生</w:t>
            </w:r>
            <w:r>
              <w:rPr>
                <w:rFonts w:hint="eastAsia" w:ascii="仿宋" w:hAnsi="仿宋" w:eastAsia="仿宋"/>
                <w:color w:val="auto"/>
                <w:sz w:val="24"/>
                <w:szCs w:val="24"/>
                <w:lang w:eastAsia="zh-CN"/>
              </w:rPr>
              <w:t>健康</w:t>
            </w:r>
            <w:r>
              <w:rPr>
                <w:rFonts w:hint="eastAsia" w:ascii="仿宋" w:hAnsi="仿宋" w:eastAsia="仿宋"/>
                <w:color w:val="auto"/>
                <w:sz w:val="24"/>
                <w:szCs w:val="24"/>
              </w:rPr>
              <w:t>等管理部门处理</w:t>
            </w:r>
          </w:p>
        </w:tc>
      </w:tr>
      <w:tr>
        <w:trPr>
          <w:trHeight w:val="3517" w:hRule="atLeast"/>
        </w:trPr>
        <w:tc>
          <w:tcPr>
            <w:tcW w:w="260" w:type="pct"/>
            <w:vMerge w:val="restart"/>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10</w:t>
            </w:r>
          </w:p>
        </w:tc>
        <w:tc>
          <w:tcPr>
            <w:tcW w:w="625" w:type="pct"/>
            <w:vMerge w:val="restart"/>
            <w:vAlign w:val="center"/>
          </w:tcPr>
          <w:p>
            <w:pPr>
              <w:spacing w:line="400" w:lineRule="exact"/>
              <w:rPr>
                <w:rFonts w:hint="eastAsia" w:ascii="仿宋" w:hAnsi="仿宋" w:eastAsia="仿宋"/>
                <w:sz w:val="24"/>
                <w:szCs w:val="24"/>
                <w:highlight w:val="yellow"/>
              </w:rPr>
            </w:pPr>
            <w:r>
              <w:rPr>
                <w:rFonts w:hint="eastAsia" w:ascii="仿宋" w:hAnsi="仿宋" w:eastAsia="仿宋"/>
                <w:sz w:val="24"/>
                <w:szCs w:val="24"/>
              </w:rPr>
              <w:t>未按要求执行实验动物福利伦理管理等相关工作</w:t>
            </w:r>
          </w:p>
        </w:tc>
        <w:tc>
          <w:tcPr>
            <w:tcW w:w="1899" w:type="pct"/>
            <w:vMerge w:val="restart"/>
            <w:vAlign w:val="center"/>
          </w:tcPr>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eastAsia="zh-CN"/>
              </w:rPr>
              <w:t>.</w:t>
            </w:r>
            <w:r>
              <w:rPr>
                <w:rFonts w:hint="eastAsia" w:ascii="仿宋" w:hAnsi="仿宋" w:eastAsia="仿宋"/>
                <w:sz w:val="24"/>
                <w:szCs w:val="24"/>
              </w:rPr>
              <w:t>《湖北省实验动物管理条例》第二十九条：从事实验动物工作的单位和个人，应当关爱实验动物，维护动物福利，不得戏弄、虐待实验动物。在符合科学原则的前提下，尽量减少动物使用量，减轻被处置动物的痛苦。鼓励开展动物实验替代方法的研究与应用。</w:t>
            </w:r>
          </w:p>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eastAsia="zh-CN"/>
              </w:rPr>
              <w:t>.</w:t>
            </w:r>
            <w:r>
              <w:rPr>
                <w:rFonts w:hint="eastAsia" w:ascii="仿宋" w:hAnsi="仿宋" w:eastAsia="仿宋"/>
                <w:sz w:val="24"/>
                <w:szCs w:val="24"/>
              </w:rPr>
              <w:t>《湖北省实验动物管理条例》第三十五条：违反本条例第九条、第十条、第十一条、第十二条、第十三条、第十六条、第十七条、第二十四条、第二十六条、第二十九条、第三十条规定的，由省科学技术行政部门予以警告、责令限期改正</w:t>
            </w:r>
            <w:r>
              <w:rPr>
                <w:rFonts w:hint="eastAsia" w:ascii="仿宋" w:hAnsi="仿宋" w:eastAsia="仿宋"/>
                <w:sz w:val="24"/>
                <w:szCs w:val="24"/>
                <w:lang w:eastAsia="zh-CN"/>
              </w:rPr>
              <w:t>；</w:t>
            </w:r>
            <w:r>
              <w:rPr>
                <w:rFonts w:hint="eastAsia" w:ascii="仿宋" w:hAnsi="仿宋" w:eastAsia="仿宋"/>
                <w:sz w:val="24"/>
                <w:szCs w:val="24"/>
              </w:rPr>
              <w:t>拒不改正的，暂扣实验动物生产、使用许可证。</w:t>
            </w:r>
          </w:p>
        </w:tc>
        <w:tc>
          <w:tcPr>
            <w:tcW w:w="841" w:type="pct"/>
            <w:vAlign w:val="center"/>
          </w:tcPr>
          <w:p>
            <w:pPr>
              <w:spacing w:line="400" w:lineRule="exact"/>
              <w:rPr>
                <w:rFonts w:hint="eastAsia" w:ascii="仿宋" w:hAnsi="仿宋" w:eastAsia="仿宋"/>
                <w:color w:val="auto"/>
                <w:sz w:val="24"/>
                <w:szCs w:val="24"/>
              </w:rPr>
            </w:pPr>
            <w:r>
              <w:rPr>
                <w:rFonts w:hint="eastAsia" w:ascii="仿宋" w:hAnsi="仿宋" w:eastAsia="仿宋"/>
                <w:color w:val="auto"/>
                <w:sz w:val="24"/>
                <w:szCs w:val="24"/>
              </w:rPr>
              <w:t>实验动物生产和使用等活动福利伦理审查工作开展不规范</w:t>
            </w:r>
            <w:r>
              <w:rPr>
                <w:rFonts w:hint="eastAsia" w:ascii="仿宋" w:hAnsi="仿宋" w:eastAsia="仿宋"/>
                <w:color w:val="auto"/>
                <w:sz w:val="24"/>
                <w:szCs w:val="24"/>
                <w:lang w:eastAsia="zh-CN"/>
              </w:rPr>
              <w:t>，</w:t>
            </w:r>
            <w:r>
              <w:rPr>
                <w:rFonts w:hint="eastAsia" w:ascii="仿宋" w:hAnsi="仿宋" w:eastAsia="仿宋"/>
                <w:color w:val="auto"/>
                <w:sz w:val="24"/>
                <w:szCs w:val="24"/>
              </w:rPr>
              <w:t>或未开展实验动物福利伦理审查工作的，初次违法且未造成危害后果并及时改正的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不予行政处罚</w:t>
            </w:r>
          </w:p>
        </w:tc>
        <w:tc>
          <w:tcPr>
            <w:tcW w:w="659"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批评教育</w:t>
            </w:r>
          </w:p>
        </w:tc>
      </w:tr>
      <w:tr>
        <w:trPr>
          <w:trHeight w:val="2131" w:hRule="atLeast"/>
        </w:trPr>
        <w:tc>
          <w:tcPr>
            <w:tcW w:w="260" w:type="pct"/>
            <w:vMerge w:val="continue"/>
            <w:vAlign w:val="center"/>
          </w:tcPr>
          <w:p>
            <w:pPr>
              <w:spacing w:line="400" w:lineRule="exact"/>
              <w:jc w:val="center"/>
              <w:rPr>
                <w:rFonts w:hint="eastAsia" w:ascii="仿宋" w:hAnsi="仿宋" w:eastAsia="仿宋"/>
                <w:sz w:val="24"/>
                <w:szCs w:val="24"/>
              </w:rPr>
            </w:pPr>
          </w:p>
        </w:tc>
        <w:tc>
          <w:tcPr>
            <w:tcW w:w="625" w:type="pct"/>
            <w:vMerge w:val="continue"/>
            <w:vAlign w:val="center"/>
          </w:tcPr>
          <w:p>
            <w:pPr>
              <w:spacing w:line="400" w:lineRule="exact"/>
              <w:rPr>
                <w:rFonts w:hint="eastAsia" w:ascii="仿宋" w:hAnsi="仿宋" w:eastAsia="仿宋"/>
                <w:sz w:val="24"/>
                <w:szCs w:val="24"/>
                <w:highlight w:val="yellow"/>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color w:val="auto"/>
                <w:sz w:val="24"/>
                <w:szCs w:val="24"/>
                <w:lang w:eastAsia="zh-CN"/>
              </w:rPr>
            </w:pPr>
            <w:r>
              <w:rPr>
                <w:rFonts w:hint="eastAsia" w:ascii="仿宋" w:hAnsi="仿宋" w:eastAsia="仿宋"/>
                <w:color w:val="auto"/>
                <w:sz w:val="24"/>
                <w:szCs w:val="24"/>
              </w:rPr>
              <w:t>实验动物生产和使用等活动福利伦理审查工作再次违法</w:t>
            </w:r>
            <w:r>
              <w:rPr>
                <w:rFonts w:hint="eastAsia" w:ascii="仿宋" w:hAnsi="仿宋" w:eastAsia="仿宋"/>
                <w:color w:val="auto"/>
                <w:sz w:val="24"/>
                <w:szCs w:val="24"/>
                <w:lang w:eastAsia="zh-CN"/>
              </w:rPr>
              <w:t>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pPr>
              <w:spacing w:line="400" w:lineRule="exact"/>
              <w:rPr>
                <w:rFonts w:hint="eastAsia" w:ascii="仿宋" w:hAnsi="仿宋" w:eastAsia="仿宋"/>
                <w:sz w:val="24"/>
                <w:szCs w:val="24"/>
              </w:rPr>
            </w:pPr>
          </w:p>
        </w:tc>
      </w:tr>
      <w:tr>
        <w:trPr>
          <w:trHeight w:val="1978" w:hRule="atLeast"/>
        </w:trPr>
        <w:tc>
          <w:tcPr>
            <w:tcW w:w="260" w:type="pct"/>
            <w:vMerge w:val="continue"/>
            <w:vAlign w:val="center"/>
          </w:tcPr>
          <w:p>
            <w:pPr>
              <w:spacing w:line="400" w:lineRule="exact"/>
              <w:jc w:val="center"/>
              <w:rPr>
                <w:rFonts w:hint="eastAsia" w:ascii="仿宋" w:hAnsi="仿宋" w:eastAsia="仿宋"/>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经责令限期改正，逾期未完成或拒不改正的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暂扣实验动物生产、使用许可证</w:t>
            </w:r>
          </w:p>
        </w:tc>
        <w:tc>
          <w:tcPr>
            <w:tcW w:w="659" w:type="pct"/>
            <w:vAlign w:val="center"/>
          </w:tcPr>
          <w:p>
            <w:pPr>
              <w:spacing w:line="400" w:lineRule="exact"/>
              <w:rPr>
                <w:rFonts w:hint="eastAsia" w:ascii="仿宋" w:hAnsi="仿宋" w:eastAsia="仿宋"/>
                <w:sz w:val="24"/>
                <w:szCs w:val="24"/>
              </w:rPr>
            </w:pPr>
          </w:p>
        </w:tc>
      </w:tr>
      <w:tr>
        <w:trPr>
          <w:trHeight w:val="2255" w:hRule="atLeast"/>
        </w:trPr>
        <w:tc>
          <w:tcPr>
            <w:tcW w:w="260" w:type="pct"/>
            <w:vMerge w:val="restart"/>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11</w:t>
            </w:r>
          </w:p>
        </w:tc>
        <w:tc>
          <w:tcPr>
            <w:tcW w:w="625" w:type="pct"/>
            <w:vMerge w:val="restart"/>
            <w:vAlign w:val="center"/>
          </w:tcPr>
          <w:p>
            <w:pPr>
              <w:spacing w:line="400" w:lineRule="exact"/>
              <w:rPr>
                <w:rFonts w:hint="eastAsia" w:ascii="仿宋" w:hAnsi="仿宋" w:eastAsia="仿宋"/>
                <w:sz w:val="24"/>
                <w:szCs w:val="24"/>
              </w:rPr>
            </w:pPr>
            <w:r>
              <w:rPr>
                <w:rFonts w:hint="eastAsia" w:ascii="仿宋" w:hAnsi="仿宋" w:eastAsia="仿宋"/>
                <w:sz w:val="24"/>
                <w:szCs w:val="24"/>
              </w:rPr>
              <w:t>实验动物从业人员培训及健康与安全管理未有效落实</w:t>
            </w:r>
          </w:p>
        </w:tc>
        <w:tc>
          <w:tcPr>
            <w:tcW w:w="1899" w:type="pct"/>
            <w:vMerge w:val="restart"/>
            <w:vAlign w:val="center"/>
          </w:tcPr>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w:t>
            </w:r>
            <w:r>
              <w:rPr>
                <w:rFonts w:hint="eastAsia" w:ascii="仿宋" w:hAnsi="仿宋" w:eastAsia="仿宋"/>
                <w:sz w:val="24"/>
                <w:szCs w:val="24"/>
                <w:lang w:eastAsia="zh-CN"/>
              </w:rPr>
              <w:t>.</w:t>
            </w:r>
            <w:r>
              <w:rPr>
                <w:rFonts w:hint="eastAsia" w:ascii="仿宋" w:hAnsi="仿宋" w:eastAsia="仿宋"/>
                <w:sz w:val="24"/>
                <w:szCs w:val="24"/>
              </w:rPr>
              <w:t>《湖北省实验动物管理条例》第三十条</w:t>
            </w:r>
            <w:r>
              <w:rPr>
                <w:rFonts w:ascii="Calibri" w:hAnsi="Calibri" w:eastAsia="仿宋" w:cs="Calibri"/>
                <w:sz w:val="24"/>
                <w:szCs w:val="24"/>
              </w:rPr>
              <w:t> </w:t>
            </w:r>
            <w:r>
              <w:rPr>
                <w:rFonts w:hint="eastAsia" w:ascii="仿宋" w:hAnsi="仿宋" w:eastAsia="仿宋"/>
                <w:sz w:val="24"/>
                <w:szCs w:val="24"/>
              </w:rPr>
              <w:t>：从事实验动物工作的单位，应当加强实验动物管理，制定严格的管理制度和科学的操作规程，并组织从业人员进行专业培训和技术等级考核，达到岗位要求。</w:t>
            </w:r>
          </w:p>
          <w:p>
            <w:pPr>
              <w:spacing w:line="400" w:lineRule="exact"/>
              <w:rPr>
                <w:rFonts w:hint="eastAsia" w:ascii="仿宋" w:hAnsi="仿宋" w:eastAsia="仿宋"/>
                <w:sz w:val="24"/>
                <w:szCs w:val="24"/>
              </w:rPr>
            </w:pPr>
            <w:r>
              <w:rPr>
                <w:rFonts w:hint="eastAsia" w:ascii="仿宋" w:hAnsi="仿宋" w:eastAsia="仿宋"/>
                <w:sz w:val="24"/>
                <w:szCs w:val="24"/>
              </w:rPr>
              <w:t>　　对从事实验动物工作的人员，应当采取防护措施，保证其健康与安全，并定期组织健康检查，及时调整调离不宜承担实验动物工作的人员。</w:t>
            </w:r>
          </w:p>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sz w:val="24"/>
                <w:szCs w:val="24"/>
                <w:lang w:eastAsia="zh-CN"/>
              </w:rPr>
              <w:t>.</w:t>
            </w:r>
            <w:r>
              <w:rPr>
                <w:rFonts w:hint="eastAsia" w:ascii="仿宋" w:hAnsi="仿宋" w:eastAsia="仿宋"/>
                <w:sz w:val="24"/>
                <w:szCs w:val="24"/>
              </w:rPr>
              <w:t>《湖北省实验动物管理条例》第三十五条：违反本条例第九条、第十条、第十一条、第十二条、第十三条、第十六条、第十七条、第二十四条、第二十六条、第二十九条、第三十条规定的，由省科学技术行政部门予以警告、责令限期改正</w:t>
            </w:r>
            <w:r>
              <w:rPr>
                <w:rFonts w:hint="eastAsia" w:ascii="仿宋" w:hAnsi="仿宋" w:eastAsia="仿宋"/>
                <w:sz w:val="24"/>
                <w:szCs w:val="24"/>
                <w:lang w:eastAsia="zh-CN"/>
              </w:rPr>
              <w:t>；</w:t>
            </w:r>
            <w:r>
              <w:rPr>
                <w:rFonts w:hint="eastAsia" w:ascii="仿宋" w:hAnsi="仿宋" w:eastAsia="仿宋"/>
                <w:sz w:val="24"/>
                <w:szCs w:val="24"/>
              </w:rPr>
              <w:t>拒不改正的，暂扣实验动物生产、使用许可证。</w:t>
            </w: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从事实验动物工作单位未组织从业人员专业培训的，初次违法且未造成危害后果并及时改正的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不予行政处罚</w:t>
            </w:r>
          </w:p>
        </w:tc>
        <w:tc>
          <w:tcPr>
            <w:tcW w:w="659"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批评教育</w:t>
            </w:r>
          </w:p>
        </w:tc>
      </w:tr>
      <w:tr>
        <w:trPr>
          <w:trHeight w:val="1304" w:hRule="atLeast"/>
        </w:trPr>
        <w:tc>
          <w:tcPr>
            <w:tcW w:w="260" w:type="pct"/>
            <w:vMerge w:val="continue"/>
            <w:vAlign w:val="center"/>
          </w:tcPr>
          <w:p>
            <w:pPr>
              <w:spacing w:line="400" w:lineRule="exact"/>
              <w:jc w:val="center"/>
              <w:rPr>
                <w:rFonts w:hint="eastAsia" w:ascii="仿宋" w:hAnsi="仿宋" w:eastAsia="仿宋"/>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对患有传染性疾病，不宜直接接触实验动物工作人员，未及时调离岗位，初次违法未造成危害后果</w:t>
            </w:r>
            <w:r>
              <w:rPr>
                <w:rFonts w:hint="eastAsia" w:ascii="仿宋" w:hAnsi="仿宋" w:eastAsia="仿宋"/>
                <w:sz w:val="24"/>
                <w:szCs w:val="24"/>
                <w:lang w:eastAsia="zh-CN"/>
              </w:rPr>
              <w:t>并及时改正</w:t>
            </w:r>
            <w:r>
              <w:rPr>
                <w:rFonts w:hint="eastAsia" w:ascii="仿宋" w:hAnsi="仿宋" w:eastAsia="仿宋"/>
                <w:sz w:val="24"/>
                <w:szCs w:val="24"/>
              </w:rPr>
              <w:t>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不予行政处罚</w:t>
            </w:r>
          </w:p>
        </w:tc>
        <w:tc>
          <w:tcPr>
            <w:tcW w:w="659"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批评教育</w:t>
            </w:r>
          </w:p>
        </w:tc>
      </w:tr>
      <w:tr>
        <w:trPr>
          <w:trHeight w:val="1304" w:hRule="atLeast"/>
        </w:trPr>
        <w:tc>
          <w:tcPr>
            <w:tcW w:w="260" w:type="pct"/>
            <w:vMerge w:val="continue"/>
            <w:vAlign w:val="center"/>
          </w:tcPr>
          <w:p>
            <w:pPr>
              <w:spacing w:line="400" w:lineRule="exact"/>
              <w:jc w:val="center"/>
              <w:rPr>
                <w:rFonts w:hint="eastAsia" w:ascii="仿宋" w:hAnsi="仿宋" w:eastAsia="仿宋"/>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再次发生上述违法行为，或对直接接触实验动物的工作人员，未定期组织健康检查的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pPr>
              <w:spacing w:line="400" w:lineRule="exact"/>
              <w:rPr>
                <w:rFonts w:hint="eastAsia" w:ascii="仿宋" w:hAnsi="仿宋" w:eastAsia="仿宋"/>
                <w:sz w:val="24"/>
                <w:szCs w:val="24"/>
              </w:rPr>
            </w:pPr>
          </w:p>
        </w:tc>
      </w:tr>
      <w:tr>
        <w:trPr>
          <w:trHeight w:val="1304" w:hRule="atLeast"/>
        </w:trPr>
        <w:tc>
          <w:tcPr>
            <w:tcW w:w="260" w:type="pct"/>
            <w:vMerge w:val="continue"/>
            <w:vAlign w:val="center"/>
          </w:tcPr>
          <w:p>
            <w:pPr>
              <w:spacing w:line="400" w:lineRule="exact"/>
              <w:jc w:val="center"/>
              <w:rPr>
                <w:rFonts w:hint="eastAsia" w:ascii="仿宋" w:hAnsi="仿宋" w:eastAsia="仿宋"/>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经责令限期改正，逾期未完成或拒不改正的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暂扣实验动物生产、使用许可证</w:t>
            </w:r>
          </w:p>
        </w:tc>
        <w:tc>
          <w:tcPr>
            <w:tcW w:w="659" w:type="pct"/>
            <w:vAlign w:val="center"/>
          </w:tcPr>
          <w:p>
            <w:pPr>
              <w:spacing w:line="400" w:lineRule="exact"/>
              <w:rPr>
                <w:rFonts w:hint="eastAsia" w:ascii="仿宋" w:hAnsi="仿宋" w:eastAsia="仿宋"/>
                <w:sz w:val="24"/>
                <w:szCs w:val="24"/>
              </w:rPr>
            </w:pPr>
          </w:p>
        </w:tc>
      </w:tr>
      <w:tr>
        <w:trPr>
          <w:trHeight w:val="2348" w:hRule="atLeast"/>
        </w:trPr>
        <w:tc>
          <w:tcPr>
            <w:tcW w:w="260" w:type="pct"/>
            <w:vMerge w:val="restart"/>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12</w:t>
            </w:r>
          </w:p>
        </w:tc>
        <w:tc>
          <w:tcPr>
            <w:tcW w:w="625" w:type="pct"/>
            <w:vMerge w:val="restart"/>
            <w:vAlign w:val="center"/>
          </w:tcPr>
          <w:p>
            <w:pPr>
              <w:spacing w:line="400" w:lineRule="exact"/>
              <w:rPr>
                <w:rFonts w:hint="eastAsia" w:ascii="仿宋" w:hAnsi="仿宋" w:eastAsia="仿宋"/>
                <w:sz w:val="24"/>
                <w:szCs w:val="24"/>
              </w:rPr>
            </w:pPr>
            <w:r>
              <w:rPr>
                <w:rFonts w:hint="eastAsia" w:ascii="仿宋" w:hAnsi="仿宋" w:eastAsia="仿宋"/>
                <w:sz w:val="24"/>
                <w:szCs w:val="24"/>
              </w:rPr>
              <w:t>从事实验动物保种、繁育、生产、供应、运输、商业性经营以及实验动物相关产品生产、供应的单位和个人，未按照生产许可证许可范围，生产供应合格的实验动物及相关产品</w:t>
            </w:r>
          </w:p>
        </w:tc>
        <w:tc>
          <w:tcPr>
            <w:tcW w:w="1899" w:type="pct"/>
            <w:vMerge w:val="restart"/>
            <w:vAlign w:val="center"/>
          </w:tcPr>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湖北省实验动物管理条例》第七条：从事实验动物保种、繁育、生产、供应、运输、商业性经营以及实验动物相关产品生产、供应的单位和个人，应当按照生产许可证许可范围，生产供应合格的实验动物及相关产品。</w:t>
            </w:r>
            <w:r>
              <w:rPr>
                <w:rFonts w:ascii="Calibri" w:hAnsi="Calibri" w:eastAsia="仿宋" w:cs="Calibri"/>
                <w:sz w:val="24"/>
                <w:szCs w:val="24"/>
              </w:rPr>
              <w:t> </w:t>
            </w:r>
            <w:r>
              <w:rPr>
                <w:rFonts w:hint="eastAsia" w:ascii="仿宋" w:hAnsi="仿宋" w:eastAsia="仿宋"/>
                <w:sz w:val="24"/>
                <w:szCs w:val="24"/>
              </w:rPr>
              <w:t> </w:t>
            </w:r>
          </w:p>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2.《湖北省实验动物管理条例》第三十六条：违反本条例第七条、第十五条规定的，由省科学技术行政部门予以警告、责令限期改正</w:t>
            </w:r>
            <w:r>
              <w:rPr>
                <w:rFonts w:hint="eastAsia" w:ascii="仿宋" w:hAnsi="仿宋" w:eastAsia="仿宋"/>
                <w:sz w:val="24"/>
                <w:szCs w:val="24"/>
                <w:lang w:eastAsia="zh-CN"/>
              </w:rPr>
              <w:t>；</w:t>
            </w:r>
            <w:r>
              <w:rPr>
                <w:rFonts w:hint="eastAsia" w:ascii="仿宋" w:hAnsi="仿宋" w:eastAsia="仿宋"/>
                <w:sz w:val="24"/>
                <w:szCs w:val="24"/>
              </w:rPr>
              <w:t>情节严重的，吊销实验动物生产、使用许可证。</w:t>
            </w: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超实验动物生产许可证许可范围生产、供应实验动物的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pPr>
              <w:spacing w:line="400" w:lineRule="exact"/>
              <w:rPr>
                <w:rFonts w:hint="eastAsia" w:ascii="仿宋" w:hAnsi="仿宋" w:eastAsia="仿宋"/>
                <w:sz w:val="24"/>
                <w:szCs w:val="24"/>
              </w:rPr>
            </w:pPr>
          </w:p>
        </w:tc>
      </w:tr>
      <w:tr>
        <w:trPr>
          <w:trHeight w:val="2778" w:hRule="atLeast"/>
        </w:trPr>
        <w:tc>
          <w:tcPr>
            <w:tcW w:w="260" w:type="pct"/>
            <w:vMerge w:val="continue"/>
            <w:vAlign w:val="center"/>
          </w:tcPr>
          <w:p>
            <w:pPr>
              <w:spacing w:line="400" w:lineRule="exact"/>
              <w:jc w:val="center"/>
              <w:rPr>
                <w:rFonts w:hint="eastAsia" w:ascii="仿宋" w:hAnsi="仿宋" w:eastAsia="仿宋"/>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生产供应实验动物的数量</w:t>
            </w:r>
            <w:r>
              <w:rPr>
                <w:rFonts w:hint="eastAsia" w:ascii="仿宋" w:hAnsi="仿宋" w:eastAsia="仿宋"/>
                <w:sz w:val="24"/>
                <w:szCs w:val="24"/>
                <w:lang w:eastAsia="zh-CN"/>
              </w:rPr>
              <w:t>超过其生产能力</w:t>
            </w:r>
            <w:r>
              <w:rPr>
                <w:rFonts w:hint="eastAsia" w:ascii="仿宋" w:hAnsi="仿宋" w:eastAsia="仿宋"/>
                <w:sz w:val="24"/>
                <w:szCs w:val="24"/>
              </w:rPr>
              <w:t>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暂扣实验动物生产许可证</w:t>
            </w:r>
          </w:p>
        </w:tc>
        <w:tc>
          <w:tcPr>
            <w:tcW w:w="659" w:type="pct"/>
            <w:vAlign w:val="center"/>
          </w:tcPr>
          <w:p>
            <w:pPr>
              <w:spacing w:line="400" w:lineRule="exact"/>
              <w:rPr>
                <w:rFonts w:hint="eastAsia" w:ascii="仿宋" w:hAnsi="仿宋" w:eastAsia="仿宋"/>
                <w:sz w:val="24"/>
                <w:szCs w:val="24"/>
              </w:rPr>
            </w:pPr>
          </w:p>
        </w:tc>
      </w:tr>
      <w:tr>
        <w:trPr>
          <w:trHeight w:val="2778" w:hRule="atLeast"/>
        </w:trPr>
        <w:tc>
          <w:tcPr>
            <w:tcW w:w="260" w:type="pct"/>
            <w:vMerge w:val="continue"/>
            <w:vAlign w:val="center"/>
          </w:tcPr>
          <w:p>
            <w:pPr>
              <w:spacing w:line="400" w:lineRule="exact"/>
              <w:jc w:val="center"/>
              <w:rPr>
                <w:rFonts w:hint="eastAsia" w:ascii="仿宋" w:hAnsi="仿宋" w:eastAsia="仿宋"/>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经责令限期改正，逾期未完成或拒不改正的；违法行为导致发生生物安全事故等严重危害后果的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吊销实验动物生产许可证</w:t>
            </w:r>
          </w:p>
        </w:tc>
        <w:tc>
          <w:tcPr>
            <w:tcW w:w="659" w:type="pct"/>
            <w:vAlign w:val="center"/>
          </w:tcPr>
          <w:p>
            <w:pPr>
              <w:spacing w:line="400" w:lineRule="exact"/>
              <w:rPr>
                <w:rFonts w:hint="eastAsia" w:ascii="仿宋" w:hAnsi="仿宋" w:eastAsia="仿宋"/>
                <w:sz w:val="24"/>
                <w:szCs w:val="24"/>
              </w:rPr>
            </w:pPr>
            <w:r>
              <w:rPr>
                <w:rFonts w:hint="eastAsia" w:ascii="仿宋" w:hAnsi="仿宋" w:eastAsia="仿宋"/>
                <w:color w:val="auto"/>
                <w:sz w:val="24"/>
                <w:szCs w:val="24"/>
              </w:rPr>
              <w:t>通报地方生态环</w:t>
            </w:r>
            <w:r>
              <w:rPr>
                <w:rFonts w:hint="eastAsia" w:ascii="仿宋" w:hAnsi="仿宋" w:eastAsia="仿宋"/>
                <w:color w:val="auto"/>
                <w:sz w:val="24"/>
                <w:szCs w:val="24"/>
                <w:lang w:eastAsia="zh-CN"/>
              </w:rPr>
              <w:t>境、</w:t>
            </w:r>
            <w:r>
              <w:rPr>
                <w:rFonts w:hint="eastAsia" w:ascii="仿宋" w:hAnsi="仿宋" w:eastAsia="仿宋"/>
                <w:color w:val="auto"/>
                <w:sz w:val="24"/>
                <w:szCs w:val="24"/>
              </w:rPr>
              <w:t>农业农村、卫生</w:t>
            </w:r>
            <w:r>
              <w:rPr>
                <w:rFonts w:hint="eastAsia" w:ascii="仿宋" w:hAnsi="仿宋" w:eastAsia="仿宋"/>
                <w:color w:val="auto"/>
                <w:sz w:val="24"/>
                <w:szCs w:val="24"/>
                <w:lang w:eastAsia="zh-CN"/>
              </w:rPr>
              <w:t>健康</w:t>
            </w:r>
            <w:r>
              <w:rPr>
                <w:rFonts w:hint="eastAsia" w:ascii="仿宋" w:hAnsi="仿宋" w:eastAsia="仿宋"/>
                <w:color w:val="auto"/>
                <w:sz w:val="24"/>
                <w:szCs w:val="24"/>
              </w:rPr>
              <w:t>等管理部门处理</w:t>
            </w:r>
          </w:p>
        </w:tc>
      </w:tr>
      <w:tr>
        <w:trPr>
          <w:trHeight w:val="2453" w:hRule="atLeast"/>
        </w:trPr>
        <w:tc>
          <w:tcPr>
            <w:tcW w:w="260" w:type="pct"/>
            <w:vMerge w:val="restart"/>
            <w:vAlign w:val="center"/>
          </w:tcPr>
          <w:p>
            <w:pPr>
              <w:spacing w:line="400" w:lineRule="exact"/>
              <w:jc w:val="center"/>
              <w:rPr>
                <w:rFonts w:hint="eastAsia" w:ascii="仿宋" w:hAnsi="仿宋" w:eastAsia="仿宋"/>
                <w:sz w:val="24"/>
                <w:szCs w:val="24"/>
              </w:rPr>
            </w:pPr>
            <w:r>
              <w:rPr>
                <w:rFonts w:hint="eastAsia" w:ascii="仿宋" w:hAnsi="仿宋" w:eastAsia="仿宋"/>
                <w:sz w:val="24"/>
                <w:szCs w:val="24"/>
              </w:rPr>
              <w:t>13</w:t>
            </w:r>
          </w:p>
        </w:tc>
        <w:tc>
          <w:tcPr>
            <w:tcW w:w="625" w:type="pct"/>
            <w:vMerge w:val="restart"/>
            <w:vAlign w:val="center"/>
          </w:tcPr>
          <w:p>
            <w:pPr>
              <w:spacing w:line="400" w:lineRule="exact"/>
              <w:rPr>
                <w:rFonts w:hint="eastAsia" w:ascii="仿宋" w:hAnsi="仿宋" w:eastAsia="仿宋"/>
                <w:sz w:val="24"/>
                <w:szCs w:val="24"/>
              </w:rPr>
            </w:pPr>
            <w:r>
              <w:rPr>
                <w:rFonts w:hint="eastAsia" w:ascii="仿宋" w:hAnsi="仿宋" w:eastAsia="仿宋"/>
                <w:sz w:val="24"/>
                <w:szCs w:val="24"/>
              </w:rPr>
              <w:t>使用实验动物及相关产品进行科研、检定、检验和以实验动物为原料或者载体生产产品等活动的单位和个人，未按照使用许可证许可范围开展动物实验项目，使用不合格的实验动物</w:t>
            </w:r>
          </w:p>
        </w:tc>
        <w:tc>
          <w:tcPr>
            <w:tcW w:w="1899" w:type="pct"/>
            <w:vMerge w:val="restart"/>
            <w:vAlign w:val="center"/>
          </w:tcPr>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1.《湖北省实验动物管理条例》第十五条</w:t>
            </w:r>
            <w:r>
              <w:rPr>
                <w:rFonts w:hint="eastAsia" w:ascii="Calibri" w:hAnsi="Calibri" w:eastAsia="仿宋" w:cs="Calibri"/>
                <w:sz w:val="24"/>
                <w:szCs w:val="24"/>
              </w:rPr>
              <w:t>：</w:t>
            </w:r>
            <w:r>
              <w:rPr>
                <w:rFonts w:hint="eastAsia" w:ascii="仿宋" w:hAnsi="仿宋" w:eastAsia="仿宋"/>
                <w:sz w:val="24"/>
                <w:szCs w:val="24"/>
              </w:rPr>
              <w:t>使用实验动物及相关产品进行科研、检定、检验和以实验动物为原料或者载体生产产品等活动的单位和个人，应当按照使用许可证许可范围，使用合格的实验动物。</w:t>
            </w:r>
          </w:p>
          <w:p>
            <w:pPr>
              <w:spacing w:line="400" w:lineRule="exact"/>
              <w:ind w:firstLine="480" w:firstLineChars="200"/>
              <w:rPr>
                <w:rFonts w:hint="eastAsia" w:ascii="仿宋" w:hAnsi="仿宋" w:eastAsia="仿宋"/>
                <w:sz w:val="24"/>
                <w:szCs w:val="24"/>
              </w:rPr>
            </w:pPr>
            <w:r>
              <w:rPr>
                <w:rFonts w:hint="eastAsia" w:ascii="仿宋" w:hAnsi="仿宋" w:eastAsia="仿宋"/>
                <w:sz w:val="24"/>
                <w:szCs w:val="24"/>
              </w:rPr>
              <w:t>2.《湖北省实验动物管理条例》第三十六条：违反本条例第七条、第十五条规定的，由省科学技术行政部门予以警告、责令限期改</w:t>
            </w:r>
            <w:r>
              <w:rPr>
                <w:rFonts w:hint="eastAsia" w:ascii="仿宋" w:hAnsi="仿宋" w:eastAsia="仿宋"/>
                <w:sz w:val="24"/>
                <w:szCs w:val="24"/>
                <w:lang w:eastAsia="zh-CN"/>
              </w:rPr>
              <w:t>；</w:t>
            </w:r>
            <w:r>
              <w:rPr>
                <w:rFonts w:hint="eastAsia" w:ascii="仿宋" w:hAnsi="仿宋" w:eastAsia="仿宋"/>
                <w:sz w:val="24"/>
                <w:szCs w:val="24"/>
              </w:rPr>
              <w:t>情节严重的，吊销实验动物生产、使用许可证。</w:t>
            </w: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超实验动物使用许可证许可范围开展动物实验项目</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警告、责令限期改正</w:t>
            </w:r>
          </w:p>
        </w:tc>
        <w:tc>
          <w:tcPr>
            <w:tcW w:w="659" w:type="pct"/>
            <w:vAlign w:val="center"/>
          </w:tcPr>
          <w:p>
            <w:pPr>
              <w:spacing w:line="400" w:lineRule="exact"/>
              <w:rPr>
                <w:rFonts w:hint="eastAsia" w:ascii="仿宋" w:hAnsi="仿宋" w:eastAsia="仿宋"/>
                <w:sz w:val="24"/>
                <w:szCs w:val="24"/>
              </w:rPr>
            </w:pPr>
          </w:p>
        </w:tc>
      </w:tr>
      <w:tr>
        <w:trPr>
          <w:trHeight w:val="2483" w:hRule="atLeast"/>
        </w:trPr>
        <w:tc>
          <w:tcPr>
            <w:tcW w:w="260" w:type="pct"/>
            <w:vMerge w:val="continue"/>
            <w:vAlign w:val="center"/>
          </w:tcPr>
          <w:p>
            <w:pPr>
              <w:spacing w:line="400" w:lineRule="exact"/>
              <w:rPr>
                <w:rFonts w:hint="eastAsia" w:ascii="仿宋" w:hAnsi="仿宋" w:eastAsia="仿宋"/>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b/>
                <w:bCs/>
                <w:sz w:val="24"/>
                <w:szCs w:val="24"/>
              </w:rPr>
            </w:pPr>
            <w:r>
              <w:rPr>
                <w:rFonts w:hint="eastAsia" w:ascii="仿宋" w:hAnsi="仿宋" w:eastAsia="仿宋"/>
                <w:sz w:val="24"/>
                <w:szCs w:val="24"/>
              </w:rPr>
              <w:t>使用不合格的实验动物开展相关动物实验</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暂扣实验动物使用许可证</w:t>
            </w:r>
          </w:p>
        </w:tc>
        <w:tc>
          <w:tcPr>
            <w:tcW w:w="659" w:type="pct"/>
            <w:vAlign w:val="center"/>
          </w:tcPr>
          <w:p>
            <w:pPr>
              <w:spacing w:line="400" w:lineRule="exact"/>
              <w:rPr>
                <w:rFonts w:hint="eastAsia" w:ascii="仿宋" w:hAnsi="仿宋" w:eastAsia="仿宋"/>
                <w:b/>
                <w:bCs/>
                <w:sz w:val="24"/>
                <w:szCs w:val="24"/>
              </w:rPr>
            </w:pPr>
          </w:p>
        </w:tc>
      </w:tr>
      <w:tr>
        <w:trPr>
          <w:trHeight w:val="2778" w:hRule="atLeast"/>
        </w:trPr>
        <w:tc>
          <w:tcPr>
            <w:tcW w:w="260" w:type="pct"/>
            <w:vMerge w:val="continue"/>
            <w:vAlign w:val="center"/>
          </w:tcPr>
          <w:p>
            <w:pPr>
              <w:spacing w:line="400" w:lineRule="exact"/>
              <w:rPr>
                <w:rFonts w:hint="eastAsia" w:ascii="仿宋" w:hAnsi="仿宋" w:eastAsia="仿宋"/>
                <w:sz w:val="24"/>
                <w:szCs w:val="24"/>
              </w:rPr>
            </w:pPr>
          </w:p>
        </w:tc>
        <w:tc>
          <w:tcPr>
            <w:tcW w:w="625" w:type="pct"/>
            <w:vMerge w:val="continue"/>
            <w:vAlign w:val="center"/>
          </w:tcPr>
          <w:p>
            <w:pPr>
              <w:spacing w:line="400" w:lineRule="exact"/>
              <w:rPr>
                <w:rFonts w:hint="eastAsia" w:ascii="仿宋" w:hAnsi="仿宋" w:eastAsia="仿宋"/>
                <w:sz w:val="24"/>
                <w:szCs w:val="24"/>
              </w:rPr>
            </w:pPr>
          </w:p>
        </w:tc>
        <w:tc>
          <w:tcPr>
            <w:tcW w:w="1899" w:type="pct"/>
            <w:vMerge w:val="continue"/>
            <w:vAlign w:val="center"/>
          </w:tcPr>
          <w:p>
            <w:pPr>
              <w:spacing w:line="400" w:lineRule="exact"/>
              <w:rPr>
                <w:rFonts w:hint="eastAsia" w:ascii="仿宋" w:hAnsi="仿宋" w:eastAsia="仿宋"/>
                <w:sz w:val="24"/>
                <w:szCs w:val="24"/>
              </w:rPr>
            </w:pPr>
          </w:p>
        </w:tc>
        <w:tc>
          <w:tcPr>
            <w:tcW w:w="841" w:type="pct"/>
            <w:vAlign w:val="center"/>
          </w:tcPr>
          <w:p>
            <w:pPr>
              <w:spacing w:line="400" w:lineRule="exact"/>
              <w:rPr>
                <w:rFonts w:hint="eastAsia" w:ascii="仿宋" w:hAnsi="仿宋" w:eastAsia="仿宋"/>
                <w:sz w:val="24"/>
                <w:szCs w:val="24"/>
              </w:rPr>
            </w:pPr>
            <w:r>
              <w:rPr>
                <w:rFonts w:hint="eastAsia" w:ascii="仿宋" w:hAnsi="仿宋" w:eastAsia="仿宋"/>
                <w:sz w:val="24"/>
                <w:szCs w:val="24"/>
              </w:rPr>
              <w:t>经责令限期改正，逾期未完成或拒不改正的；违法行为导致发生生物安全事故等严重危害后果的</w:t>
            </w:r>
          </w:p>
        </w:tc>
        <w:tc>
          <w:tcPr>
            <w:tcW w:w="714" w:type="pct"/>
            <w:vAlign w:val="center"/>
          </w:tcPr>
          <w:p>
            <w:pPr>
              <w:spacing w:line="400" w:lineRule="exact"/>
              <w:rPr>
                <w:rFonts w:hint="eastAsia" w:ascii="仿宋" w:hAnsi="仿宋" w:eastAsia="仿宋"/>
                <w:sz w:val="24"/>
                <w:szCs w:val="24"/>
              </w:rPr>
            </w:pPr>
            <w:r>
              <w:rPr>
                <w:rFonts w:hint="eastAsia" w:ascii="仿宋" w:hAnsi="仿宋" w:eastAsia="仿宋"/>
                <w:color w:val="auto"/>
                <w:sz w:val="24"/>
                <w:szCs w:val="24"/>
              </w:rPr>
              <w:t>吊销实验动物使用许可证</w:t>
            </w:r>
          </w:p>
        </w:tc>
        <w:tc>
          <w:tcPr>
            <w:tcW w:w="659" w:type="pct"/>
            <w:vAlign w:val="center"/>
          </w:tcPr>
          <w:p>
            <w:pPr>
              <w:spacing w:line="400" w:lineRule="exact"/>
              <w:rPr>
                <w:rFonts w:hint="eastAsia" w:ascii="仿宋" w:hAnsi="仿宋" w:eastAsia="仿宋"/>
                <w:sz w:val="24"/>
                <w:szCs w:val="24"/>
              </w:rPr>
            </w:pPr>
            <w:r>
              <w:rPr>
                <w:rFonts w:hint="eastAsia" w:ascii="仿宋" w:hAnsi="仿宋" w:eastAsia="仿宋"/>
                <w:color w:val="auto"/>
                <w:sz w:val="24"/>
                <w:szCs w:val="24"/>
              </w:rPr>
              <w:t>通报地方生态环</w:t>
            </w:r>
            <w:r>
              <w:rPr>
                <w:rFonts w:hint="eastAsia" w:ascii="仿宋" w:hAnsi="仿宋" w:eastAsia="仿宋"/>
                <w:color w:val="auto"/>
                <w:sz w:val="24"/>
                <w:szCs w:val="24"/>
                <w:lang w:eastAsia="zh-CN"/>
              </w:rPr>
              <w:t>境、</w:t>
            </w:r>
            <w:r>
              <w:rPr>
                <w:rFonts w:hint="eastAsia" w:ascii="仿宋" w:hAnsi="仿宋" w:eastAsia="仿宋"/>
                <w:color w:val="auto"/>
                <w:sz w:val="24"/>
                <w:szCs w:val="24"/>
              </w:rPr>
              <w:t>农业农村、卫生</w:t>
            </w:r>
            <w:r>
              <w:rPr>
                <w:rFonts w:hint="eastAsia" w:ascii="仿宋" w:hAnsi="仿宋" w:eastAsia="仿宋"/>
                <w:color w:val="auto"/>
                <w:sz w:val="24"/>
                <w:szCs w:val="24"/>
                <w:lang w:eastAsia="zh-CN"/>
              </w:rPr>
              <w:t>健康</w:t>
            </w:r>
            <w:r>
              <w:rPr>
                <w:rFonts w:hint="eastAsia" w:ascii="仿宋" w:hAnsi="仿宋" w:eastAsia="仿宋"/>
                <w:color w:val="auto"/>
                <w:sz w:val="24"/>
                <w:szCs w:val="24"/>
              </w:rPr>
              <w:t>等管理部门处理</w:t>
            </w:r>
          </w:p>
        </w:tc>
      </w:tr>
    </w:tbl>
    <w:p>
      <w:pPr>
        <w:rPr>
          <w:rFonts w:hint="eastAsia" w:ascii="黑体" w:hAnsi="黑体" w:eastAsia="黑体"/>
          <w:sz w:val="32"/>
          <w:szCs w:val="32"/>
        </w:rPr>
      </w:pPr>
    </w:p>
    <w:p>
      <w:pPr>
        <w:rPr>
          <w:rFonts w:hint="eastAsia" w:ascii="黑体" w:hAnsi="黑体" w:eastAsia="黑体"/>
          <w:sz w:val="32"/>
          <w:szCs w:val="32"/>
        </w:rPr>
      </w:pPr>
      <w:r>
        <w:rPr>
          <w:rFonts w:hint="eastAsia" w:ascii="黑体" w:hAnsi="黑体" w:eastAsia="黑体"/>
          <w:sz w:val="32"/>
          <w:szCs w:val="32"/>
        </w:rPr>
        <w:t>备注：其他处理措施中</w:t>
      </w:r>
      <w:r>
        <w:rPr>
          <w:rFonts w:hint="eastAsia" w:ascii="黑体" w:hAnsi="黑体" w:eastAsia="黑体"/>
          <w:sz w:val="32"/>
          <w:szCs w:val="32"/>
          <w:lang w:eastAsia="zh-CN"/>
        </w:rPr>
        <w:t>通报</w:t>
      </w:r>
      <w:r>
        <w:rPr>
          <w:rFonts w:hint="eastAsia" w:ascii="黑体" w:hAnsi="黑体" w:eastAsia="黑体"/>
          <w:sz w:val="32"/>
          <w:szCs w:val="32"/>
        </w:rPr>
        <w:t>有关部门处理的相关文件依据如下。</w:t>
      </w:r>
    </w:p>
    <w:tbl>
      <w:tblPr>
        <w:tblStyle w:val="7"/>
        <w:tblpPr w:leftFromText="180" w:rightFromText="180" w:vertAnchor="text" w:horzAnchor="page" w:tblpX="1566" w:tblpY="79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1"/>
        <w:gridCol w:w="6520"/>
        <w:gridCol w:w="3697"/>
      </w:tblGrid>
      <w:tr>
        <w:trPr>
          <w:trHeight w:val="454" w:hRule="atLeast"/>
        </w:trPr>
        <w:tc>
          <w:tcPr>
            <w:tcW w:w="3681" w:type="dxa"/>
            <w:vAlign w:val="center"/>
          </w:tcPr>
          <w:p>
            <w:pPr>
              <w:jc w:val="center"/>
              <w:rPr>
                <w:rFonts w:hint="eastAsia" w:ascii="黑体" w:hAnsi="黑体" w:eastAsia="黑体"/>
                <w:sz w:val="24"/>
                <w:szCs w:val="24"/>
              </w:rPr>
            </w:pPr>
            <w:r>
              <w:rPr>
                <w:rFonts w:hint="eastAsia" w:ascii="黑体" w:hAnsi="黑体" w:eastAsia="黑体"/>
                <w:sz w:val="24"/>
                <w:szCs w:val="24"/>
              </w:rPr>
              <w:t>裁量权执行标准的违法行为序号</w:t>
            </w:r>
          </w:p>
        </w:tc>
        <w:tc>
          <w:tcPr>
            <w:tcW w:w="6520" w:type="dxa"/>
            <w:vAlign w:val="center"/>
          </w:tcPr>
          <w:p>
            <w:pPr>
              <w:jc w:val="center"/>
              <w:rPr>
                <w:rFonts w:hint="eastAsia" w:ascii="黑体" w:hAnsi="黑体" w:eastAsia="黑体"/>
                <w:sz w:val="24"/>
                <w:szCs w:val="24"/>
              </w:rPr>
            </w:pPr>
            <w:r>
              <w:rPr>
                <w:rFonts w:hint="eastAsia" w:ascii="黑体" w:hAnsi="黑体" w:eastAsia="黑体"/>
                <w:sz w:val="24"/>
                <w:szCs w:val="24"/>
              </w:rPr>
              <w:t>法律、法规、规章等</w:t>
            </w:r>
          </w:p>
        </w:tc>
        <w:tc>
          <w:tcPr>
            <w:tcW w:w="3697" w:type="dxa"/>
            <w:vAlign w:val="center"/>
          </w:tcPr>
          <w:p>
            <w:pPr>
              <w:jc w:val="center"/>
              <w:rPr>
                <w:rFonts w:hint="eastAsia" w:ascii="黑体" w:hAnsi="黑体" w:eastAsia="黑体"/>
                <w:sz w:val="24"/>
                <w:szCs w:val="24"/>
              </w:rPr>
            </w:pPr>
            <w:r>
              <w:rPr>
                <w:rFonts w:hint="eastAsia" w:ascii="黑体" w:hAnsi="黑体" w:eastAsia="黑体"/>
                <w:sz w:val="24"/>
                <w:szCs w:val="24"/>
              </w:rPr>
              <w:t>有关部门</w:t>
            </w:r>
          </w:p>
        </w:tc>
      </w:tr>
      <w:tr>
        <w:trPr>
          <w:trHeight w:val="1595" w:hRule="atLeast"/>
        </w:trPr>
        <w:tc>
          <w:tcPr>
            <w:tcW w:w="3681"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sz w:val="24"/>
                <w:szCs w:val="24"/>
              </w:rPr>
            </w:pPr>
            <w:r>
              <w:rPr>
                <w:rFonts w:hint="eastAsia" w:ascii="仿宋" w:hAnsi="仿宋" w:eastAsia="仿宋"/>
                <w:sz w:val="24"/>
                <w:szCs w:val="24"/>
              </w:rPr>
              <w:t>6、8、9、12、13</w:t>
            </w:r>
          </w:p>
        </w:tc>
        <w:tc>
          <w:tcPr>
            <w:tcW w:w="6520"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olor w:val="auto"/>
                <w:sz w:val="24"/>
                <w:szCs w:val="24"/>
              </w:rPr>
            </w:pPr>
            <w:r>
              <w:rPr>
                <w:rFonts w:hint="eastAsia" w:ascii="仿宋" w:hAnsi="仿宋" w:eastAsia="仿宋"/>
                <w:color w:val="auto"/>
                <w:sz w:val="24"/>
                <w:szCs w:val="24"/>
              </w:rPr>
              <w:t>《中华人民共和国固体废物污染环境防治法》《国家危险废物名录》《危险化学品安全管理条例》《中华人民共和国放射性污染防治法》《中华人民共和国生物安全法》等</w:t>
            </w:r>
          </w:p>
        </w:tc>
        <w:tc>
          <w:tcPr>
            <w:tcW w:w="3697"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sz w:val="24"/>
                <w:szCs w:val="24"/>
              </w:rPr>
            </w:pPr>
            <w:r>
              <w:rPr>
                <w:rFonts w:hint="eastAsia" w:ascii="仿宋" w:hAnsi="仿宋" w:eastAsia="仿宋"/>
                <w:sz w:val="24"/>
                <w:szCs w:val="24"/>
              </w:rPr>
              <w:t>地方生态环境管理部门</w:t>
            </w:r>
          </w:p>
        </w:tc>
      </w:tr>
      <w:tr>
        <w:trPr>
          <w:trHeight w:val="2155" w:hRule="atLeast"/>
        </w:trPr>
        <w:tc>
          <w:tcPr>
            <w:tcW w:w="3681"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sz w:val="24"/>
                <w:szCs w:val="24"/>
              </w:rPr>
            </w:pPr>
            <w:r>
              <w:rPr>
                <w:rFonts w:hint="eastAsia" w:ascii="仿宋" w:hAnsi="仿宋" w:eastAsia="仿宋"/>
                <w:sz w:val="24"/>
                <w:szCs w:val="24"/>
              </w:rPr>
              <w:t>6、8、9、12、13</w:t>
            </w:r>
          </w:p>
        </w:tc>
        <w:tc>
          <w:tcPr>
            <w:tcW w:w="6520"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olor w:val="auto"/>
                <w:sz w:val="24"/>
                <w:szCs w:val="24"/>
              </w:rPr>
            </w:pPr>
            <w:r>
              <w:rPr>
                <w:rFonts w:hint="eastAsia" w:ascii="仿宋" w:hAnsi="仿宋" w:eastAsia="仿宋"/>
                <w:color w:val="auto"/>
                <w:sz w:val="24"/>
                <w:szCs w:val="24"/>
              </w:rPr>
              <w:t>《中华人民共和国动物防疫法》《重大动物疫情应急条例》、《病原微生物实验室生物安全管理条例》《危险化学品安全管理条例》《病死动物无害化处理技术规范》《中华人民共和国生物安全法》等</w:t>
            </w:r>
          </w:p>
        </w:tc>
        <w:tc>
          <w:tcPr>
            <w:tcW w:w="3697"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sz w:val="24"/>
                <w:szCs w:val="24"/>
              </w:rPr>
            </w:pPr>
            <w:r>
              <w:rPr>
                <w:rFonts w:hint="eastAsia" w:ascii="仿宋" w:hAnsi="仿宋" w:eastAsia="仿宋"/>
                <w:sz w:val="24"/>
                <w:szCs w:val="24"/>
              </w:rPr>
              <w:t>地方农业农村管理部门</w:t>
            </w:r>
          </w:p>
        </w:tc>
      </w:tr>
      <w:tr>
        <w:trPr>
          <w:trHeight w:val="1815" w:hRule="atLeast"/>
        </w:trPr>
        <w:tc>
          <w:tcPr>
            <w:tcW w:w="3681"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sz w:val="24"/>
                <w:szCs w:val="24"/>
              </w:rPr>
            </w:pPr>
            <w:r>
              <w:rPr>
                <w:rFonts w:hint="eastAsia" w:ascii="仿宋" w:hAnsi="仿宋" w:eastAsia="仿宋"/>
                <w:sz w:val="24"/>
                <w:szCs w:val="24"/>
              </w:rPr>
              <w:t>6、8、9、12、13</w:t>
            </w:r>
          </w:p>
        </w:tc>
        <w:tc>
          <w:tcPr>
            <w:tcW w:w="6520"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olor w:val="auto"/>
                <w:sz w:val="24"/>
                <w:szCs w:val="24"/>
              </w:rPr>
            </w:pPr>
            <w:r>
              <w:rPr>
                <w:rFonts w:hint="eastAsia" w:ascii="仿宋" w:hAnsi="仿宋" w:eastAsia="仿宋"/>
                <w:color w:val="auto"/>
                <w:sz w:val="24"/>
                <w:szCs w:val="24"/>
              </w:rPr>
              <w:t>《中华人民共和国传染病防治法》《医疗废物管理条例》《病原微生物实验室生物安全管理条例》《危险化学品安全管理条例》《中华人民共和国生物安全法》等</w:t>
            </w:r>
          </w:p>
        </w:tc>
        <w:tc>
          <w:tcPr>
            <w:tcW w:w="3697"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sz w:val="24"/>
                <w:szCs w:val="24"/>
              </w:rPr>
            </w:pPr>
            <w:r>
              <w:rPr>
                <w:rFonts w:hint="eastAsia" w:ascii="仿宋" w:hAnsi="仿宋" w:eastAsia="仿宋"/>
                <w:sz w:val="24"/>
                <w:szCs w:val="24"/>
              </w:rPr>
              <w:t>地方卫生健康管理部门</w:t>
            </w:r>
          </w:p>
        </w:tc>
      </w:tr>
    </w:tbl>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rPr>
      </w:pPr>
    </w:p>
    <w:p>
      <w:pPr>
        <w:rPr>
          <w:rFonts w:hint="eastAsia"/>
        </w:rPr>
        <w:sectPr>
          <w:footerReference r:id="rId3" w:type="default"/>
          <w:pgSz w:w="16838" w:h="11906" w:orient="landscape"/>
          <w:pgMar w:top="1701" w:right="1417" w:bottom="1418" w:left="1417" w:header="851" w:footer="992" w:gutter="0"/>
          <w:cols w:space="425" w:num="1"/>
          <w:docGrid w:type="lines" w:linePitch="312" w:charSpace="0"/>
        </w:sect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r>
        <w:rPr>
          <w:sz w:val="32"/>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337185</wp:posOffset>
                </wp:positionV>
                <wp:extent cx="5360035" cy="0"/>
                <wp:effectExtent l="0" t="0" r="0" b="0"/>
                <wp:wrapNone/>
                <wp:docPr id="3" name="直接连接符 3"/>
                <wp:cNvGraphicFramePr/>
                <a:graphic xmlns:a="http://schemas.openxmlformats.org/drawingml/2006/main">
                  <a:graphicData uri="http://schemas.microsoft.com/office/word/2010/wordprocessingShape">
                    <wps:wsp>
                      <wps:cNvCnPr/>
                      <wps:spPr>
                        <a:xfrm>
                          <a:off x="1083310" y="8369300"/>
                          <a:ext cx="536003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0.25pt;margin-top:26.55pt;height:0pt;width:422.05pt;z-index:251660288;mso-width-relative:page;mso-height-relative:page;" filled="f" stroked="t" coordsize="21600,21600" o:gfxdata="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AQmnwn1gAAAAYBAAAPAAAAAAAAAAEAIAAAADgAAABkcnMv&#10;ZG93bnJldi54bWxQSwECFAAUAAAACACHTuJA66Djze8BAAC+AwAADgAAAAAAAAABACAAAAA7AQAA&#10;ZHJzL2Uyb0RvYy54bWxQSwUGAAAAAAYABgBZAQAAnAUAAAAA&#10;">
                <v:fill on="f" focussize="0,0"/>
                <v:stroke weight="1pt" color="#000000 [3200]" miterlimit="8" joinstyle="miter"/>
                <v:imagedata o:title=""/>
                <o:lock v:ext="edit" aspectratio="f"/>
              </v:line>
            </w:pict>
          </mc:Fallback>
        </mc:AlternateContent>
      </w:r>
    </w:p>
    <w:p>
      <w:pPr>
        <w:ind w:left="960" w:hanging="960" w:hangingChars="300"/>
        <w:rPr>
          <w:rFonts w:hint="eastAsia" w:ascii="国标仿宋" w:hAnsi="国标仿宋" w:eastAsia="国标仿宋" w:cs="国标仿宋"/>
          <w:color w:val="000000"/>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20955</wp:posOffset>
                </wp:positionH>
                <wp:positionV relativeFrom="paragraph">
                  <wp:posOffset>781050</wp:posOffset>
                </wp:positionV>
                <wp:extent cx="5385435" cy="17145"/>
                <wp:effectExtent l="0" t="4445" r="5715" b="6985"/>
                <wp:wrapNone/>
                <wp:docPr id="2" name="直接连接符 2"/>
                <wp:cNvGraphicFramePr/>
                <a:graphic xmlns:a="http://schemas.openxmlformats.org/drawingml/2006/main">
                  <a:graphicData uri="http://schemas.microsoft.com/office/word/2010/wordprocessingShape">
                    <wps:wsp>
                      <wps:cNvCnPr/>
                      <wps:spPr>
                        <a:xfrm flipV="1">
                          <a:off x="1101090" y="9209405"/>
                          <a:ext cx="5385435" cy="171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65pt;margin-top:61.5pt;height:1.35pt;width:424.05pt;z-index:251659264;mso-width-relative:page;mso-height-relative:page;" filled="f" stroked="t" coordsize="21600,21600" o:gfxdata="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M2lvrLXAAAACQEAAA8AAAAAAAAA&#10;AQAgAAAAOAAAAGRycy9kb3ducmV2LnhtbFBLAQIUABQAAAAIAIdO4kAUHT3a/AEAAMsDAAAOAAAA&#10;AAAAAAEAIAAAADwBAABkcnMvZTJvRG9jLnhtbFBLBQYAAAAABgAGAFkBAACqBQAAAAA=&#10;">
                <v:fill on="f" focussize="0,0"/>
                <v:stroke weight="0.5pt" color="#000000 [3200]" miterlimit="8" joinstyle="miter"/>
                <v:imagedata o:title=""/>
                <o:lock v:ext="edit" aspectratio="f"/>
              </v:line>
            </w:pict>
          </mc:Fallback>
        </mc:AlternateContent>
      </w:r>
      <w:r>
        <w:rPr>
          <w:rFonts w:hint="eastAsia" w:ascii="国标仿宋" w:hAnsi="国标仿宋" w:eastAsia="国标仿宋" w:cs="国标仿宋"/>
          <w:sz w:val="32"/>
          <w:szCs w:val="32"/>
          <w:lang w:eastAsia="zh-CN"/>
        </w:rPr>
        <w:t>抄送：</w:t>
      </w:r>
      <w:r>
        <w:rPr>
          <w:rFonts w:hint="eastAsia" w:ascii="国标仿宋" w:hAnsi="国标仿宋" w:eastAsia="国标仿宋" w:cs="国标仿宋"/>
          <w:color w:val="000000"/>
          <w:sz w:val="32"/>
          <w:szCs w:val="32"/>
          <w:lang w:val="en-US" w:eastAsia="zh-CN"/>
        </w:rPr>
        <w:t>省司法厅、省生态环境厅、省农业农村厅、省卫健委、省市场监管局</w:t>
      </w:r>
    </w:p>
    <w:p>
      <w:pPr>
        <w:rPr>
          <w:rFonts w:hint="default" w:ascii="国标仿宋" w:hAnsi="国标仿宋" w:eastAsia="国标仿宋" w:cs="国标仿宋"/>
          <w:color w:val="000000"/>
          <w:sz w:val="32"/>
          <w:szCs w:val="32"/>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column">
                  <wp:posOffset>20955</wp:posOffset>
                </wp:positionH>
                <wp:positionV relativeFrom="paragraph">
                  <wp:posOffset>429895</wp:posOffset>
                </wp:positionV>
                <wp:extent cx="5394325" cy="26035"/>
                <wp:effectExtent l="0" t="4445" r="15875" b="7620"/>
                <wp:wrapNone/>
                <wp:docPr id="4" name="直接连接符 4"/>
                <wp:cNvGraphicFramePr/>
                <a:graphic xmlns:a="http://schemas.openxmlformats.org/drawingml/2006/main">
                  <a:graphicData uri="http://schemas.microsoft.com/office/word/2010/wordprocessingShape">
                    <wps:wsp>
                      <wps:cNvCnPr/>
                      <wps:spPr>
                        <a:xfrm flipV="1">
                          <a:off x="1101090" y="9650730"/>
                          <a:ext cx="5394325" cy="260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65pt;margin-top:33.85pt;height:2.05pt;width:424.75pt;z-index:251661312;mso-width-relative:page;mso-height-relative:page;" filled="f" stroked="t" coordsize="21600,21600" o:gfxdata="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A91PIF1gAAAAcBAAAPAAAAAAAAAAEA&#10;IAAAADgAAABkcnMvZG93bnJldi54bWxQSwECFAAUAAAACACHTuJA2DpabPsBAADLAwAADgAAAAAA&#10;AAABACAAAAA7AQAAZHJzL2Uyb0RvYy54bWxQSwUGAAAAAAYABgBZAQAAqAUAAAAA&#10;">
                <v:fill on="f" focussize="0,0"/>
                <v:stroke weight="0.5pt" color="#000000 [3200]" miterlimit="8" joinstyle="miter"/>
                <v:imagedata o:title=""/>
                <o:lock v:ext="edit" aspectratio="f"/>
              </v:line>
            </w:pict>
          </mc:Fallback>
        </mc:AlternateContent>
      </w:r>
      <w:r>
        <w:rPr>
          <w:rFonts w:hint="eastAsia" w:ascii="国标仿宋" w:hAnsi="国标仿宋" w:eastAsia="国标仿宋" w:cs="国标仿宋"/>
          <w:color w:val="000000"/>
          <w:sz w:val="32"/>
          <w:szCs w:val="32"/>
          <w:lang w:val="en-US" w:eastAsia="zh-CN"/>
        </w:rPr>
        <w:t>湖北省科技厅办公室                 2024年 9月14日印发</w:t>
      </w:r>
    </w:p>
    <w:sectPr>
      <w:pgSz w:w="11906" w:h="16838"/>
      <w:pgMar w:top="1417" w:right="1418" w:bottom="141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方正楷体_GBK">
    <w:altName w:val="汉仪楷体简"/>
    <w:panose1 w:val="02000000000000000000"/>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国标仿宋">
    <w:altName w:val="方正仿宋_GBK"/>
    <w:panose1 w:val="02000500000000000000"/>
    <w:charset w:val="86"/>
    <w:family w:val="auto"/>
    <w:pitch w:val="default"/>
    <w:sig w:usb0="00000000" w:usb1="00000000" w:usb2="00000016" w:usb3="00000000" w:csb0="00060007" w:csb1="00000000"/>
  </w:font>
  <w:font w:name="汉仪中等线KW">
    <w:panose1 w:val="01010104010101010101"/>
    <w:charset w:val="86"/>
    <w:family w:val="auto"/>
    <w:pitch w:val="default"/>
    <w:sig w:usb0="800002BF" w:usb1="004F7CFA" w:usb2="00000000" w:usb3="00000000" w:csb0="00040001" w:csb1="00000000"/>
  </w:font>
  <w:font w:name="汉仪楷体简">
    <w:panose1 w:val="02010600000101010101"/>
    <w:charset w:val="86"/>
    <w:family w:val="auto"/>
    <w:pitch w:val="default"/>
    <w:sig w:usb0="00000001" w:usb1="080E0800" w:usb2="00000002"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儷宋 Pro">
    <w:panose1 w:val="02020300000000000000"/>
    <w:charset w:val="88"/>
    <w:family w:val="auto"/>
    <w:pitch w:val="default"/>
    <w:sig w:usb0="80000001" w:usb1="28091800" w:usb2="00000016" w:usb3="00000000" w:csb0="0010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kwY2NjNTdhOGRjOGUxNDZkN2NkZmQ5ODg5MjkyZWQifQ=="/>
  </w:docVars>
  <w:rsids>
    <w:rsidRoot w:val="00683B0F"/>
    <w:rsid w:val="00010B39"/>
    <w:rsid w:val="0002067B"/>
    <w:rsid w:val="000712ED"/>
    <w:rsid w:val="000835EC"/>
    <w:rsid w:val="00095673"/>
    <w:rsid w:val="001050E5"/>
    <w:rsid w:val="00105A83"/>
    <w:rsid w:val="00130BB2"/>
    <w:rsid w:val="00134FA8"/>
    <w:rsid w:val="00136910"/>
    <w:rsid w:val="001C51BC"/>
    <w:rsid w:val="00270C6D"/>
    <w:rsid w:val="002F649C"/>
    <w:rsid w:val="003B2207"/>
    <w:rsid w:val="00454E48"/>
    <w:rsid w:val="00480FE8"/>
    <w:rsid w:val="00481A39"/>
    <w:rsid w:val="004C773C"/>
    <w:rsid w:val="004D3676"/>
    <w:rsid w:val="00512730"/>
    <w:rsid w:val="00683B0F"/>
    <w:rsid w:val="007064E6"/>
    <w:rsid w:val="00720219"/>
    <w:rsid w:val="007B653E"/>
    <w:rsid w:val="008E7B08"/>
    <w:rsid w:val="0091652C"/>
    <w:rsid w:val="00946D9B"/>
    <w:rsid w:val="009A043F"/>
    <w:rsid w:val="00A035D0"/>
    <w:rsid w:val="00A83C9F"/>
    <w:rsid w:val="00A966DC"/>
    <w:rsid w:val="00AC119A"/>
    <w:rsid w:val="00AD39D2"/>
    <w:rsid w:val="00AE7F4A"/>
    <w:rsid w:val="00B02B13"/>
    <w:rsid w:val="00B077D8"/>
    <w:rsid w:val="00B54DF8"/>
    <w:rsid w:val="00B97F2B"/>
    <w:rsid w:val="00BE7FB2"/>
    <w:rsid w:val="00C26CAA"/>
    <w:rsid w:val="00C55702"/>
    <w:rsid w:val="00C80675"/>
    <w:rsid w:val="00CE5FD8"/>
    <w:rsid w:val="00D53121"/>
    <w:rsid w:val="00D74BCB"/>
    <w:rsid w:val="00D853FD"/>
    <w:rsid w:val="00DB11F7"/>
    <w:rsid w:val="00DF3BD0"/>
    <w:rsid w:val="00E2275C"/>
    <w:rsid w:val="00E2646B"/>
    <w:rsid w:val="00F17D6D"/>
    <w:rsid w:val="00F81A37"/>
    <w:rsid w:val="0A27015B"/>
    <w:rsid w:val="27FF3D17"/>
    <w:rsid w:val="4FA252B3"/>
    <w:rsid w:val="5EEB3994"/>
    <w:rsid w:val="5FEFEBEA"/>
    <w:rsid w:val="6FB7AE18"/>
    <w:rsid w:val="73971BF1"/>
    <w:rsid w:val="75FB4270"/>
    <w:rsid w:val="76FC3CDA"/>
    <w:rsid w:val="76FF5BC9"/>
    <w:rsid w:val="776BD90D"/>
    <w:rsid w:val="7BB79062"/>
    <w:rsid w:val="7CF65A87"/>
    <w:rsid w:val="7DFF0E4A"/>
    <w:rsid w:val="7E3E5CB4"/>
    <w:rsid w:val="7EEF7914"/>
    <w:rsid w:val="7F7A3F8C"/>
    <w:rsid w:val="7FBF952E"/>
    <w:rsid w:val="7FFFECEB"/>
    <w:rsid w:val="9FD53FEA"/>
    <w:rsid w:val="B7DE53E0"/>
    <w:rsid w:val="BB34F296"/>
    <w:rsid w:val="BFFF5999"/>
    <w:rsid w:val="CF7EF18E"/>
    <w:rsid w:val="D6E3F76B"/>
    <w:rsid w:val="DBB3573D"/>
    <w:rsid w:val="ED75E7ED"/>
    <w:rsid w:val="EEDFC6DA"/>
    <w:rsid w:val="F7B7241E"/>
    <w:rsid w:val="FBBF62DF"/>
    <w:rsid w:val="FBF1CC6B"/>
    <w:rsid w:val="FE4F9E5D"/>
    <w:rsid w:val="FF61040C"/>
    <w:rsid w:val="FFF5D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semiHidden/>
    <w:unhideWhenUsed/>
    <w:qFormat/>
    <w:uiPriority w:val="99"/>
    <w:pPr>
      <w:jc w:val="left"/>
    </w:p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tabs>
        <w:tab w:val="center" w:pos="4153"/>
        <w:tab w:val="right" w:pos="8306"/>
      </w:tabs>
      <w:snapToGrid w:val="0"/>
      <w:jc w:val="center"/>
    </w:pPr>
    <w:rPr>
      <w:sz w:val="18"/>
      <w:szCs w:val="18"/>
    </w:rPr>
  </w:style>
  <w:style w:type="paragraph" w:styleId="5">
    <w:name w:val="annotation subject"/>
    <w:basedOn w:val="2"/>
    <w:next w:val="2"/>
    <w:link w:val="11"/>
    <w:semiHidden/>
    <w:unhideWhenUsed/>
    <w:qFormat/>
    <w:uiPriority w:val="99"/>
    <w:rPr>
      <w:b/>
      <w:bCs/>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semiHidden/>
    <w:unhideWhenUsed/>
    <w:qFormat/>
    <w:uiPriority w:val="99"/>
    <w:rPr>
      <w:sz w:val="21"/>
      <w:szCs w:val="21"/>
    </w:rPr>
  </w:style>
  <w:style w:type="character" w:customStyle="1" w:styleId="10">
    <w:name w:val="批注文字 字符"/>
    <w:basedOn w:val="8"/>
    <w:link w:val="2"/>
    <w:semiHidden/>
    <w:qFormat/>
    <w:uiPriority w:val="99"/>
  </w:style>
  <w:style w:type="character" w:customStyle="1" w:styleId="11">
    <w:name w:val="批注主题 字符"/>
    <w:basedOn w:val="10"/>
    <w:link w:val="5"/>
    <w:semiHidden/>
    <w:qFormat/>
    <w:uiPriority w:val="99"/>
    <w:rPr>
      <w:b/>
      <w:bCs/>
    </w:rPr>
  </w:style>
  <w:style w:type="paragraph" w:customStyle="1" w:styleId="12">
    <w:name w:val="修订1"/>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 w:type="character" w:customStyle="1" w:styleId="13">
    <w:name w:val="页眉 字符"/>
    <w:basedOn w:val="8"/>
    <w:link w:val="4"/>
    <w:qFormat/>
    <w:uiPriority w:val="99"/>
    <w:rPr>
      <w:kern w:val="2"/>
      <w:sz w:val="18"/>
      <w:szCs w:val="18"/>
      <w14:ligatures w14:val="standardContextual"/>
    </w:rPr>
  </w:style>
  <w:style w:type="character" w:customStyle="1" w:styleId="14">
    <w:name w:val="页脚 字符"/>
    <w:basedOn w:val="8"/>
    <w:link w:val="3"/>
    <w:qFormat/>
    <w:uiPriority w:val="99"/>
    <w:rPr>
      <w:kern w:val="2"/>
      <w:sz w:val="18"/>
      <w:szCs w:val="18"/>
      <w14:ligatures w14:val="standardContextual"/>
    </w:rPr>
  </w:style>
  <w:style w:type="paragraph" w:customStyle="1" w:styleId="15">
    <w:name w:val="Revision"/>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921</Words>
  <Characters>5254</Characters>
  <Lines>43</Lines>
  <Paragraphs>12</Paragraphs>
  <TotalTime>7</TotalTime>
  <ScaleCrop>false</ScaleCrop>
  <LinksUpToDate>false</LinksUpToDate>
  <CharactersWithSpaces>6163</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2024-08-11T00:27:00Z</dcterms:created>
  <dc:creator>文祥 杨</dc:creator>
  <cp:lastModifiedBy>WPS_1692262740</cp:lastModifiedBy>
  <cp:lastPrinted>2024-09-15T01:15:00Z</cp:lastPrinted>
  <dcterms:modified xsi:type="dcterms:W3CDTF">2024-09-14T18:56:49Z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27FF1EA3ECB27D9AF16BE566508F0DE5_43</vt:lpwstr>
  </property>
</Properties>
</file>